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0"/>
        </w:rPr>
      </w:pPr>
      <w:r>
        <w:rPr>
          <w:sz w:val="20"/>
        </w:rPr>
        <w:t xml:space="preserve">    </w:t>
      </w:r>
      <w:r>
        <w:rPr>
          <w:sz w:val="20"/>
        </w:rPr>
        <w:tab/>
        <w:t>PASSWORD APPLICATION</w:t>
      </w:r>
    </w:p>
    <w:p>
      <w:pPr>
        <w:pStyle w:val="Normal"/>
        <w:widowControl/>
        <w:tabs>
          <w:tab w:val="clear" w:pos="720"/>
          <w:tab w:val="center" w:pos="4320" w:leader="none"/>
        </w:tabs>
        <w:jc w:val="both"/>
        <w:rPr>
          <w:sz w:val="20"/>
        </w:rPr>
      </w:pPr>
      <w:r>
        <w:rPr>
          <w:sz w:val="20"/>
        </w:rPr>
      </w:r>
    </w:p>
    <w:p>
      <w:pPr>
        <w:pStyle w:val="Normal"/>
        <w:widowControl/>
        <w:ind w:firstLine="1440" w:end="0"/>
        <w:jc w:val="both"/>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tab/>
        <w:tab/>
        <w:t>] of [</w:t>
        <w:tab/>
        <w:t>] ("Counterparty") wishes to access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a password (which may allow Counterparty to create other passwords) (the “Passwords”).  The Passwords that will enable Counterparty to access and utilize the Website.  Counterparty understands and agrees that (1) it will be solely responsible for any and all acts and omissions taken with respect to the access and use of the Website (including, without limitation, the execution of Transactions) by any person using the Passwords and it shall only provide the Passwords to its employees who are authorised by the Counterparty to execute Transactions and not to any third party.  Counterparty will implement and enforce reasonable measures to protect the confidentiality of the Website. Counterparty shall immediately notify Enron of any unauthorised disclosure or misuse of the Passwords.  Use of the Passwords outside of the country previously identified by Counterparty as its country of residence or principal place of business, or other countries approved by Enron, is strictly prohibited, (2) its access to and use of the Website will be subject to the Electronic Trading Agreement included on the Website (the “ETA”) and that, when Counterparty first accesses the Website using any of the Passwords, it will be required to indicate its agreement to the ETA by “clicking” on the designated spaces and, thereafter, any access and utilization of the Website using any of the Passwords will be governed by this Password Application, the ETA and any procedures established by Enron with respect to the access and utilization of the Website and any other terms and conditions specified or referred to on the Website from time to time; and (3) the ETA and any Transactions executed on the Website will be deemed to be “in writing” and to have been “signed” (and any record of the ETA or any such Transaction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the ETA, any procedures established by Enron with respect to the access and utilization of the Website, any other terms and conditions specified or referred to on the Website from time to time and, if applicable, any master agreements between Enron and Counterparty with respect to such Transactions.  Counterparty represents, warrants and covenants that if it has signed a registration form provided by Enron, all information provided by the Counterparty on such registration form is true, accurate and complete in all respects, or if it has not signed such registration form, the Counterparty acknowledges and agrees that Enron shall be entitled to continue to rely on any information previously provided to it by the Counterparty in respect of the relevant products including, without limitation, bank, notice and nomination details.</w:t>
      </w:r>
    </w:p>
    <w:p>
      <w:pPr>
        <w:pStyle w:val="Normal"/>
        <w:widowControl/>
        <w:ind w:firstLine="1440" w:end="0"/>
        <w:jc w:val="both"/>
        <w:rPr>
          <w:sz w:val="20"/>
        </w:rPr>
      </w:pPr>
      <w:r>
        <w:rPr>
          <w:sz w:val="20"/>
        </w:rPr>
      </w:r>
    </w:p>
    <w:p>
      <w:pPr>
        <w:pStyle w:val="Normal"/>
        <w:widowControl/>
        <w:ind w:firstLine="1440" w:end="0"/>
        <w:jc w:val="both"/>
        <w:rPr>
          <w:sz w:val="20"/>
        </w:rPr>
      </w:pPr>
      <w:r>
        <w:rPr>
          <w:sz w:val="20"/>
        </w:rPr>
        <w:t>This Password Application will be governed by and construed in accordance with English law and the parties hereby submit to the exclusive jurisdiction of the English Courts.</w:t>
      </w:r>
    </w:p>
    <w:p>
      <w:pPr>
        <w:pStyle w:val="Normal"/>
        <w:widowControl/>
        <w:jc w:val="both"/>
        <w:rPr>
          <w:sz w:val="20"/>
        </w:rPr>
      </w:pPr>
      <w:r>
        <w:rPr>
          <w:sz w:val="20"/>
        </w:rPr>
      </w:r>
    </w:p>
    <w:p>
      <w:pPr>
        <w:pStyle w:val="Normal"/>
        <w:widowControl/>
        <w:jc w:val="both"/>
        <w:rPr>
          <w:sz w:val="20"/>
        </w:rPr>
      </w:pPr>
      <w:r>
        <w:rPr>
          <w:sz w:val="20"/>
        </w:rPr>
        <w:t>Date:</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ENRON POWER OPERATIONS LIMITED</w:t>
        <w:tab/>
        <w:tab/>
        <w:tab/>
        <w:t>[COUNTERPARTY]</w:t>
      </w:r>
    </w:p>
    <w:p>
      <w:pPr>
        <w:pStyle w:val="Normal"/>
        <w:widowControl/>
        <w:jc w:val="both"/>
        <w:rPr>
          <w:sz w:val="20"/>
        </w:rPr>
      </w:pPr>
      <w:r>
        <w:rPr>
          <w:sz w:val="20"/>
        </w:rPr>
        <w:t>(for itself and on behalf of its group undertakings</w:t>
      </w:r>
    </w:p>
    <w:p>
      <w:pPr>
        <w:pStyle w:val="Normal"/>
        <w:widowControl/>
        <w:jc w:val="both"/>
        <w:rPr>
          <w:sz w:val="20"/>
        </w:rPr>
      </w:pPr>
      <w:r>
        <w:rPr>
          <w:sz w:val="20"/>
        </w:rPr>
        <w:t>from time to time)</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By:  ___________________</w:t>
        <w:tab/>
        <w:tab/>
        <w:tab/>
        <w:tab/>
        <w:tab/>
        <w:t>By:  ________________</w:t>
      </w:r>
    </w:p>
    <w:p>
      <w:pPr>
        <w:pStyle w:val="Normal"/>
        <w:widowControl/>
        <w:tabs>
          <w:tab w:val="clear" w:pos="720"/>
          <w:tab w:val="left" w:pos="-1440" w:leader="none"/>
        </w:tabs>
        <w:ind w:hanging="5760" w:start="5760" w:end="0"/>
        <w:jc w:val="both"/>
        <w:rPr>
          <w:sz w:val="20"/>
        </w:rPr>
      </w:pPr>
      <w:r>
        <w:rPr>
          <w:sz w:val="20"/>
        </w:rPr>
        <w:t>Title:</w:t>
        <w:tab/>
        <w:tab/>
        <w:tab/>
        <w:tab/>
        <w:tab/>
        <w:tab/>
        <w:tab/>
        <w:tab/>
        <w:t xml:space="preserve">Title:  </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London-1/363477/08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UK</w:t>
    </w:r>
  </w:p>
  <w:p>
    <w:pPr>
      <w:pStyle w:val="Normal"/>
      <w:spacing w:lineRule="exact" w:line="241"/>
      <w:jc w:val="end"/>
      <w:rPr>
        <w:sz w:val="20"/>
      </w:rPr>
    </w:pPr>
    <w:r>
      <w:rPr>
        <w:sz w:val="20"/>
      </w:rPr>
      <w:t>16 July 1999</w:t>
    </w:r>
  </w:p>
  <w:p>
    <w:pPr>
      <w:pStyle w:val="Normal"/>
      <w:spacing w:lineRule="exact" w:line="241"/>
      <w:jc w:val="end"/>
      <w:rPr>
        <w:sz w:val="20"/>
      </w:rPr>
    </w:pPr>
    <w:r>
      <w:rPr>
        <w:sz w:val="20"/>
      </w:rPr>
      <w:t>Version 9</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1999-07-14T12:33:00Z</dcterms:created>
  <dc:creator>007504</dc:creator>
  <dc:description/>
  <dc:language>en-CA</dc:language>
  <cp:lastModifiedBy>007504</cp:lastModifiedBy>
  <cp:lastPrinted>1999-07-20T15:14:00Z</cp:lastPrinted>
  <dcterms:modified xsi:type="dcterms:W3CDTF">1999-07-20T11:44:00Z</dcterms:modified>
  <cp:revision>7</cp:revision>
  <dc:subject/>
  <dc:title> </dc:title>
</cp:coreProperties>
</file>