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Hypertext Links - Legal Issues</w:t>
      </w:r>
    </w:p>
    <w:p>
      <w:pPr>
        <w:pStyle w:val="Normal"/>
        <w:rPr>
          <w:b/>
        </w:rPr>
      </w:pPr>
      <w:r>
        <w:rPr>
          <w:b/>
        </w:rPr>
        <w:t>Introduction</w:t>
      </w:r>
    </w:p>
    <w:p>
      <w:pPr>
        <w:pStyle w:val="Normal"/>
        <w:rPr/>
      </w:pPr>
      <w:r>
        <w:rPr/>
        <w:t xml:space="preserve">We have been asked to state our view on legal implications in the UK of having links from the Internet trading website run by Enron Europe Limited ("Enron") to various other web pages of interest and various Internet news and information services.  </w:t>
      </w:r>
    </w:p>
    <w:p>
      <w:pPr>
        <w:pStyle w:val="Normal"/>
        <w:rPr/>
      </w:pPr>
      <w:r>
        <w:rPr/>
        <w:t xml:space="preserve">We have been informed that Enron intend to have a number of links from their website to third party websites comprising relevant information, such as interesting energy sites and links to news items.  Enron may also choose to be linked to from other sites, such as FT.com for example, in order to extend their customer base.  </w:t>
      </w:r>
    </w:p>
    <w:p>
      <w:pPr>
        <w:pStyle w:val="Normal"/>
        <w:rPr/>
      </w:pPr>
      <w:r>
        <w:rPr/>
        <w:t xml:space="preserve">In choosing to carry third party links on the Enron website, and utilising links to the Enron website from third party sites, Enron must, as far as possible, limit any liability that it may face as a result.  This note seeks to identify the areas of potential liability that linking involves, and to suggest how Enron can reduce these.  </w:t>
      </w:r>
    </w:p>
    <w:p>
      <w:pPr>
        <w:pStyle w:val="Normal"/>
        <w:rPr/>
      </w:pPr>
      <w:r>
        <w:rPr/>
        <w:t>We note at the outset that there is little, if any, substantive caselaw in this area, as most of the few cases that have been brought on such issues have been settled out of court.  Those cases that were calculated have been based on US state jurisdictions and are therefore not binding on English courts.  Therefore, while we are pleased to offer advice as to our interpretation of how general contract law and intellectual property law applies to links, it remains to be seen how the courts of England will adapt them in this new scenario.</w:t>
      </w:r>
    </w:p>
    <w:p>
      <w:pPr>
        <w:pStyle w:val="Normal"/>
        <w:rPr/>
      </w:pPr>
      <w:r>
        <w:rPr/>
        <w:t>If you have concerns in this area that are not sufficiently satisfied by this advice, then you may wish to seek the opinion of senior counsel.  We would be happy to co-ordinate this for you.</w:t>
      </w:r>
    </w:p>
    <w:p>
      <w:pPr>
        <w:pStyle w:val="Normal"/>
        <w:rPr>
          <w:b/>
        </w:rPr>
      </w:pPr>
      <w:r>
        <w:rPr>
          <w:b/>
        </w:rPr>
        <w:t>Possible Infringing Acts in Linking</w:t>
      </w:r>
    </w:p>
    <w:p>
      <w:pPr>
        <w:pStyle w:val="Normal"/>
        <w:rPr/>
      </w:pPr>
      <w:r>
        <w:rPr/>
        <w:t>There are two broad categories of potential infringing acts involved in the use of links on the web:</w:t>
      </w:r>
    </w:p>
    <w:p>
      <w:pPr>
        <w:pStyle w:val="Normal"/>
        <w:rPr/>
      </w:pPr>
      <w:r>
        <w:rPr/>
        <w:t>1.Intellectual property related breaches: trade marks and copyright; and</w:t>
      </w:r>
    </w:p>
    <w:p>
      <w:pPr>
        <w:pStyle w:val="Normal"/>
        <w:rPr/>
      </w:pPr>
      <w:r>
        <w:rPr/>
        <w:t>2.Common law torts, particularly passing off.</w:t>
      </w:r>
    </w:p>
    <w:p>
      <w:pPr>
        <w:pStyle w:val="Normal"/>
        <w:rPr/>
      </w:pPr>
      <w:r>
        <w:rPr/>
        <w:t xml:space="preserve">This paper will deal with each of these in turn. </w:t>
      </w:r>
    </w:p>
    <w:p>
      <w:pPr>
        <w:pStyle w:val="Normal"/>
        <w:rPr>
          <w:b/>
        </w:rPr>
      </w:pPr>
      <w:r>
        <w:rPr>
          <w:b/>
        </w:rPr>
        <w:t>Terminology</w:t>
      </w:r>
    </w:p>
    <w:p>
      <w:pPr>
        <w:pStyle w:val="Normal"/>
        <w:rPr/>
      </w:pPr>
      <w:r>
        <w:rPr/>
        <w:t>The website upon which there are links to third party sites will be known as the "originating entity".  The party that chooses to access the third party website using the link on the originating entity's site will be known as the "web user".  The third party website to which the link leads will be referred to as the "destination entity".</w:t>
      </w:r>
    </w:p>
    <w:p>
      <w:pPr>
        <w:pStyle w:val="Normal"/>
        <w:rPr/>
      </w:pPr>
      <w:r>
        <w:rPr/>
        <w:t>There are a number of different ways in which a link can be formed.  It can be based on an icon or symbol; a simple word or phrase; a name; trademark or other identifying phrase; or simply through the underlying URL itself.</w:t>
      </w:r>
    </w:p>
    <w:p>
      <w:pPr>
        <w:pStyle w:val="Normal"/>
        <w:rPr/>
      </w:pPr>
      <w:r>
        <w:rPr/>
        <w:t>Whichever method is chosen, in this advice, it will be referred to as the "linking point".</w:t>
      </w:r>
    </w:p>
    <w:p>
      <w:pPr>
        <w:pStyle w:val="Normal"/>
        <w:keepNext w:val="true"/>
        <w:rPr>
          <w:b/>
        </w:rPr>
      </w:pPr>
      <w:r>
        <w:rPr>
          <w:b/>
        </w:rPr>
        <w:t>Intellectual property related breaches</w:t>
      </w:r>
    </w:p>
    <w:p>
      <w:pPr>
        <w:pStyle w:val="Normal"/>
        <w:rPr/>
      </w:pPr>
      <w:r>
        <w:rPr/>
        <w:t xml:space="preserve">The issue here is, does the originating entity infringe the intellectual property rights of a destination entity by creating a link to the destination site? </w:t>
      </w:r>
    </w:p>
    <w:p>
      <w:pPr>
        <w:pStyle w:val="Normal"/>
        <w:rPr/>
      </w:pPr>
      <w:r>
        <w:rPr/>
        <w:t xml:space="preserve">There are two particular areas of intellectual property and the creation of links: </w:t>
      </w:r>
    </w:p>
    <w:p>
      <w:pPr>
        <w:pStyle w:val="Normal"/>
        <w:rPr/>
      </w:pPr>
      <w:r>
        <w:rPr/>
        <w:t>•</w:t>
      </w:r>
      <w:r>
        <w:rPr>
          <w:rFonts w:eastAsia="CG Times"/>
        </w:rPr>
        <w:t xml:space="preserve"> </w:t>
      </w:r>
      <w:r>
        <w:rPr/>
        <w:t xml:space="preserve">trade mark law; and </w:t>
      </w:r>
    </w:p>
    <w:p>
      <w:pPr>
        <w:pStyle w:val="Normal"/>
        <w:rPr/>
      </w:pPr>
      <w:r>
        <w:rPr/>
        <w:t>•</w:t>
      </w:r>
      <w:r>
        <w:rPr>
          <w:rFonts w:eastAsia="CG Times"/>
        </w:rPr>
        <w:t xml:space="preserve"> </w:t>
      </w:r>
      <w:r>
        <w:rPr/>
        <w:t xml:space="preserve">copyright law. </w:t>
      </w:r>
    </w:p>
    <w:p>
      <w:pPr>
        <w:pStyle w:val="Normal"/>
        <w:rPr>
          <w:i/>
          <w:i/>
        </w:rPr>
      </w:pPr>
      <w:r>
        <w:rPr>
          <w:i/>
        </w:rPr>
        <w:t>Trade mark law</w:t>
      </w:r>
    </w:p>
    <w:p>
      <w:pPr>
        <w:pStyle w:val="Normal"/>
        <w:rPr/>
      </w:pPr>
      <w:r>
        <w:rPr/>
        <w:t>UK trade mark law is governed by the Trade Marks Act 1994 (TMA); this Act is intended, in part, to implement the EC Directive</w:t>
      </w:r>
      <w:r>
        <w:rPr>
          <w:rStyle w:val="FootnoteCharacters"/>
          <w:rStyle w:val="FootnoteReference"/>
        </w:rPr>
        <w:footnoteReference w:id="2"/>
      </w:r>
      <w:r>
        <w:rPr/>
        <w:t xml:space="preserve"> on the harmonisation of trade mark law throughout the EC adopted in 1988, and should be interpreted as such. The basic thrust of the TMA is that registration of a trade mark gives the registered owner the exclusive rights to use the trade mark and to authorise others to use the trade mark as a mark (section 2).</w:t>
      </w:r>
    </w:p>
    <w:p>
      <w:pPr>
        <w:pStyle w:val="Normal"/>
        <w:rPr/>
      </w:pPr>
      <w:r>
        <w:rPr/>
        <w:t>Imagine one of two situations: either the originating entity uses the trade mark of the destination entity as a linking point between the two; or the Uniform Resource Locator (URL) of the destination entity itself is a registered trade mark. In either case, what is the potential liability of the web user and the originating entity for trade mark infringement? Whether or not the originating entity has infringed a trade mark of the destination entity depends on the circumstances of the link and the UK court's interpretation of the TMA. Section 10(6) of the TMA specifically states that that Act shall not prohibit:</w:t>
      </w:r>
    </w:p>
    <w:p>
      <w:pPr>
        <w:pStyle w:val="Normal"/>
        <w:ind w:start="720" w:end="0"/>
        <w:rPr/>
      </w:pPr>
      <w:r>
        <w:rPr/>
        <w:t>…</w:t>
      </w:r>
      <w:r>
        <w:rPr>
          <w:i/>
        </w:rPr>
        <w:t xml:space="preserve">the use of a registered trademark by any person for the purpose of identifying goods or services as those of the proprietor or a licensee.  But any such use otherwise than in accordance with honest practices in industrial or commercial matters shall be treated as infringing the registered trade mark if the use without due cause takes unfair advantage of, or is detrimental to, the distinctive character or repute of the trade mark.  </w:t>
      </w:r>
    </w:p>
    <w:p>
      <w:pPr>
        <w:pStyle w:val="Normal"/>
        <w:rPr/>
      </w:pPr>
      <w:r>
        <w:rPr/>
        <w:t>There is, of itself, no infringement of a trade mark if it is used to identify the services of the proprietor.  Thus the use of a trademark as a link would be acceptable if it is in accordance with "</w:t>
      </w:r>
      <w:r>
        <w:rPr>
          <w:i/>
        </w:rPr>
        <w:t>honest practices in industrial or commercial matters</w:t>
      </w:r>
      <w:r>
        <w:rPr/>
        <w:t>" and does not take unfair advantage of, or be detrimental to, the distinctiveness or character of the trade mark.  Since this section has introduced in the 1994 Act there has not been sufficient case law to determine what is meant by "</w:t>
      </w:r>
      <w:r>
        <w:rPr>
          <w:i/>
        </w:rPr>
        <w:t>honest practices in industrial or commercial matters</w:t>
      </w:r>
      <w:r>
        <w:rPr/>
        <w:t>".  Thus where a trademark  is to be used as a link point it is advisable to be very careful how it is presented. That is, there should be no derogatory comments about the site or its products, and no dilution of its distinctiveness should take place.</w:t>
      </w:r>
    </w:p>
    <w:p>
      <w:pPr>
        <w:pStyle w:val="Normal"/>
        <w:rPr/>
      </w:pPr>
      <w:r>
        <w:rPr/>
        <w:t>In the United States of America a destination entity could argue that reference to the destination entity's trade mark by the originating entity dilutes or detracts from the distinctness of the destination entity's trade mark. This was recently enshrined in Federal Statute through the Lanham Act (previously the action was only available in 25 States). Cosmetics giant Avon was the first company to launch an action under that new legislation. The key notion of a dilution claim, in the circumstances of this paper, is whether or not the use of the destination entity's trade mark by the originating entity would lessen the capacity of the trade mark to identify and distinguish the destination entity's goods and services. In short, if reference to a trade mark of the destination entity by the originating entity somehow impacted on the destination entity's ability to exploit their mark as a distinguishing feature for goods and services on the website then an action might arise under American law.  This area has not been fully tested, but in any event appears to apply only in the United States.</w:t>
      </w:r>
    </w:p>
    <w:p>
      <w:pPr>
        <w:pStyle w:val="Normal"/>
        <w:rPr>
          <w:i/>
          <w:i/>
        </w:rPr>
      </w:pPr>
      <w:r>
        <w:rPr>
          <w:i/>
        </w:rPr>
        <w:t>Copyright</w:t>
      </w:r>
    </w:p>
    <w:p>
      <w:pPr>
        <w:pStyle w:val="Normal"/>
        <w:rPr/>
      </w:pPr>
      <w:r>
        <w:rPr/>
        <w:t>The laws of copyright grants to a party the exclusive right to do or authorise others to do a number of specific acts in relation to a variety of literal, artistic, computer and other works. Copyright law is governed by the Copyright, Designs and Patents Act 1988 (CDPA).  Generally, there are two essential elements to an action for breach of copyright in the UK:</w:t>
      </w:r>
    </w:p>
    <w:p>
      <w:pPr>
        <w:pStyle w:val="Normal"/>
        <w:numPr>
          <w:ilvl w:val="0"/>
          <w:numId w:val="12"/>
        </w:numPr>
        <w:rPr/>
      </w:pPr>
      <w:r>
        <w:rPr/>
        <w:t xml:space="preserve">that copyright subsists in the work or subject matter; and </w:t>
      </w:r>
    </w:p>
    <w:p>
      <w:pPr>
        <w:pStyle w:val="Normal"/>
        <w:numPr>
          <w:ilvl w:val="0"/>
          <w:numId w:val="12"/>
        </w:numPr>
        <w:rPr/>
      </w:pPr>
      <w:r>
        <w:rPr/>
        <w:t xml:space="preserve">that the defendant exercised or authorised another to exercise one of the exclusive rights of copyright without the permission of the copyright owner. </w:t>
      </w:r>
    </w:p>
    <w:p>
      <w:pPr>
        <w:pStyle w:val="Normal"/>
        <w:rPr/>
      </w:pPr>
      <w:r>
        <w:rPr/>
        <w:t>To examine copyright infringement in the web surfing environment it is necessary to examine each potential action in relation to the two initial elements noted above. In relation to web surfing, there are a number of ways in which a link can potentially infringe the copyright of the owner of the destination site.</w:t>
      </w:r>
    </w:p>
    <w:p>
      <w:pPr>
        <w:pStyle w:val="Normal"/>
        <w:rPr/>
      </w:pPr>
      <w:r>
        <w:rPr/>
        <w:t xml:space="preserve">In the first instance, there are claims that copyright can rest in the URL itself. That is, that the website address itself might be a copyrightable work. For copyright to subsist in a work it must be an original work.  This does not mean that the courts are predisposed to deny copyright protection to a collection of facts. On the contrary, the courts in most common law countries have granted protection to lists and compilations of facts where that there has been a sufficient display of originality, skill and labour in the work </w:t>
      </w:r>
    </w:p>
    <w:p>
      <w:pPr>
        <w:pStyle w:val="Normal"/>
        <w:rPr/>
      </w:pPr>
      <w:r>
        <w:rPr/>
        <w:t>In the UK works such as examination questions and lists of television programmes and football fixtures have all been held to be protected.  The requirement of originality excludes work that has simply been copied, but so long as there has been an element of creativity or effort put into its production copyright may subsist.</w:t>
      </w:r>
    </w:p>
    <w:p>
      <w:pPr>
        <w:pStyle w:val="Normal"/>
        <w:rPr/>
      </w:pPr>
      <w:r>
        <w:rPr/>
        <w:t xml:space="preserve">The test then is whether there is sufficient originality and skill involved in establishing and preparing a URL to generate the protection of copyright. Domain names that overlay a URL are partly a collection of facts and partly wording chosen by the website owner. The domain name is a translation on Internet protocol for generating URLs. Thus, while a destination entity may have some opportunity to select the wording that goes into their translation of their domain name or URL, the bulk of this Internet address is selected based on established Internet protocols. </w:t>
      </w:r>
    </w:p>
    <w:p>
      <w:pPr>
        <w:pStyle w:val="Normal"/>
        <w:rPr/>
      </w:pPr>
      <w:r>
        <w:rPr/>
        <w:t xml:space="preserve">In that regard, it would be difficult to establish that there was sufficient originality and skill based in the creation of a URL to enable a destination entity to claim copyright in that URL. If a party were able to base a successful claim in copyright for a URL it would be akin to claiming copyright in the naming of a building that forms part of a street address. Thus there is unlikely to be any infringement of copyright by either a web user or an originating entity based on the use of a URL as a link because copyright is unlikely to subsist in the URL. </w:t>
      </w:r>
    </w:p>
    <w:p>
      <w:pPr>
        <w:pStyle w:val="Normal"/>
        <w:rPr/>
      </w:pPr>
      <w:r>
        <w:rPr/>
        <w:t xml:space="preserve">The situation is slightly altered where a collection of words or pictures is used as a link point other than the URL or domain name. This may occur in circumstances where the link point is a headline, paragraph, photograph or title. </w:t>
      </w:r>
    </w:p>
    <w:p>
      <w:pPr>
        <w:pStyle w:val="Normal"/>
        <w:rPr/>
      </w:pPr>
      <w:r>
        <w:rPr/>
        <w:t>Whether or not copyright can subsist in these link points depends entirely on the content and circumstances surrounding their creation and use. This issue was recently raised in the ongoing dispute between the Shetland Times and Shetland News in Scotland. In that dispute the Shetland News (an Internet based daily news service for the Shetland Islands) provided links from its site to the Internet site of the hard copy daily newspaper, The Shetland Times, through headings from Shetland Times articles. The judge hearing the case, Lord Hamilton, granted an interim edict (Scottish equivalent of an interlocutory junction) preventing the Shetland News from maintaining these hypertext links on the basis that there was an issue as to whether or not copyright subsists in URLs or headlines.</w:t>
      </w:r>
    </w:p>
    <w:p>
      <w:pPr>
        <w:pStyle w:val="Normal"/>
        <w:rPr/>
      </w:pPr>
      <w:r>
        <w:rPr/>
        <w:t>Few Internet legal practitioners have given support to Lord Hamilton's view that copyright may subsist in a URL or a short heading.  Unfortunately, this case was settled prior to the substantive hearing.  That said, decisions such as the rejection of copyright in the word Exxon in the US highlight the US, Canadian and UK courts preference to reject copyright protection for short titles and phrases. Thus, it seems that the position will depend on the circumstances and the type of link. If a linking point is merely a few identifying words, it is unlikely that copyright will subsist. However, if the linking point is an abstract or large amounts of the original work, then copyright is more likely to subsist in that link.</w:t>
      </w:r>
    </w:p>
    <w:p>
      <w:pPr>
        <w:pStyle w:val="Normal"/>
        <w:rPr/>
      </w:pPr>
      <w:r>
        <w:rPr/>
        <w:t xml:space="preserve">The issue becomes more complex where the link between an originating site and a destination site is provided through a frame in the originating site. That is, the originating site accessed by a web user is divided into a number of sections. One section provides links or directions for surfing destination sites. The second section or frame provides the area in the originating site in which the destination sites are displayed. This process is a software based mechanism allowing a web user to view a number of sites within the framework of the one site. </w:t>
      </w:r>
    </w:p>
    <w:p>
      <w:pPr>
        <w:pStyle w:val="Normal"/>
        <w:rPr/>
      </w:pPr>
      <w:r>
        <w:rPr/>
        <w:t>Clearly, there is no issue here as to whether or not copyright subsists in the destination site. An independently developed site containing original work is almost certain to attract copyright protection. The issue then is whether or not displaying a destination site in a frame is committing, or is authorising others to commit, one of the exclusive acts comprised in copyright without the owner's consent.</w:t>
      </w:r>
    </w:p>
    <w:p>
      <w:pPr>
        <w:pStyle w:val="Normal"/>
        <w:rPr/>
      </w:pPr>
      <w:r>
        <w:rPr/>
        <w:t xml:space="preserve">One of the key exclusive rights granted to a copyright owner is that of copying the work (see section 16(1)(a) of the CDPA). In section 17(2) copying is defined, in relation to literary, dramatic, musical or artistic work, as reproducing the work in any material form.  Under section 50A of the CDPA it is stated that it is not an infringement of copyright for a lawful user, that is someone who has a right to use the program, of a program to make a back up copy which it is necessary to have for the purposes of his lawful use.  This provision overrides any term in an agreement, which purports to restrict this right.  However this does not apply in the case of a the copying of a website into a temporary folder on the web user's hard drive, as this is not a back up copy. </w:t>
      </w:r>
    </w:p>
    <w:p>
      <w:pPr>
        <w:pStyle w:val="Normal"/>
        <w:rPr/>
      </w:pPr>
      <w:r>
        <w:rPr/>
        <w:t>The CDPA specifically includes within such reproduction, "</w:t>
      </w:r>
      <w:r>
        <w:rPr>
          <w:i/>
        </w:rPr>
        <w:t>storing the work in any medium by electronic means</w:t>
      </w:r>
      <w:r>
        <w:rPr/>
        <w:t xml:space="preserve">".  In the process of using the world wide web, parts of the website are reproduced in a temporary folder on the hard drive of the web user.  It is also highly likely that part of the server hosting the originating entity also temporarily stores or caches a framed destination entity.  </w:t>
      </w:r>
    </w:p>
    <w:p>
      <w:pPr>
        <w:pStyle w:val="Normal"/>
        <w:rPr/>
      </w:pPr>
      <w:r>
        <w:rPr/>
        <w:t xml:space="preserve">It is not clear if such temporary reproduction amounts to storing by electronic means, as it is yet to be examined by the UK judiciary.  That said, it is very likely that a reproduction has occurred under the CDPA.  In the British case of </w:t>
      </w:r>
      <w:r>
        <w:rPr>
          <w:i/>
        </w:rPr>
        <w:t>Bookmakers' Afternoon Greyhound Services v. Wilf Gilbert</w:t>
      </w:r>
      <w:r>
        <w:rPr/>
        <w:t xml:space="preserve"> it was held that materialisation of an image on a television screen could also be considered copying, even though no permanent record was necessarily kept of that transmission. It is clear that this could apply to web surfing.  Litigation by a destination entity against an originating entity for infringement of copyright in framed websites could well turn on this issue.</w:t>
      </w:r>
    </w:p>
    <w:p>
      <w:pPr>
        <w:pStyle w:val="Normal"/>
        <w:rPr/>
      </w:pPr>
      <w:r>
        <w:rPr/>
        <w:t>A further right that vests in copyright owners is that to broadcast the work or to include it in a cable programme service.  A cable programme service is defined in the CDPA as:</w:t>
      </w:r>
    </w:p>
    <w:p>
      <w:pPr>
        <w:pStyle w:val="Normal"/>
        <w:rPr>
          <w:i/>
          <w:i/>
        </w:rPr>
      </w:pPr>
      <w:r>
        <w:rPr>
          <w:i/>
        </w:rPr>
        <w:tab/>
        <w:t xml:space="preserve">…a service which consists wholly or mainly in sending visual images, sounds or other </w:t>
        <w:tab/>
        <w:t xml:space="preserve">information by means of a telecommunications system, otherwise than by wireless </w:t>
        <w:tab/>
        <w:t xml:space="preserve">telegraphy, for reception - at two or more place…or, for presentation to members of </w:t>
        <w:tab/>
        <w:t>the public;</w:t>
      </w:r>
    </w:p>
    <w:p>
      <w:pPr>
        <w:pStyle w:val="Normal"/>
        <w:rPr/>
      </w:pPr>
      <w:r>
        <w:rPr/>
        <w:t>If websites on the Internet are held to be a "cable programme service", as indeed Lord Hamilton held in his preliminary decision in the Shetland Case</w:t>
      </w:r>
      <w:r>
        <w:rPr>
          <w:rStyle w:val="FootnoteCharacters"/>
          <w:rStyle w:val="FootnoteReference"/>
        </w:rPr>
        <w:footnoteReference w:id="3"/>
      </w:r>
      <w:r>
        <w:rPr/>
        <w:t xml:space="preserve">, then the originating entity will be infringing copyright if it "broadcasts" any of the copyright material by showing it on the website.  This is the only UK case that addresses this area. Given the interlocutory nature of this decision, it is not a conclusive statement of the law in this area.  </w:t>
      </w:r>
    </w:p>
    <w:p>
      <w:pPr>
        <w:pStyle w:val="Normal"/>
        <w:rPr/>
      </w:pPr>
      <w:r>
        <w:rPr/>
        <w:t>If it is established that a infringement of copyright has taken place the issue then becomes one of whether or not web users and web site link builders have a defence to any allegation by the copyright holder that their reproduction or broadcast was unauthorised and thus an infringement. There are two basic defences available in these circumstances:</w:t>
      </w:r>
    </w:p>
    <w:p>
      <w:pPr>
        <w:pStyle w:val="Normal"/>
        <w:numPr>
          <w:ilvl w:val="0"/>
          <w:numId w:val="9"/>
        </w:numPr>
        <w:rPr/>
      </w:pPr>
      <w:r>
        <w:rPr/>
        <w:t xml:space="preserve">the defence of fair dealing; and </w:t>
      </w:r>
    </w:p>
    <w:p>
      <w:pPr>
        <w:pStyle w:val="Normal"/>
        <w:numPr>
          <w:ilvl w:val="0"/>
          <w:numId w:val="9"/>
        </w:numPr>
        <w:rPr/>
      </w:pPr>
      <w:r>
        <w:rPr/>
        <w:t xml:space="preserve">the defence of asserting an implied licence or permission to reproduce the copyright material. </w:t>
      </w:r>
    </w:p>
    <w:p>
      <w:pPr>
        <w:pStyle w:val="Normal"/>
        <w:rPr/>
      </w:pPr>
      <w:r>
        <w:rPr/>
        <w:t xml:space="preserve">I will deal with each of these defences in turn. </w:t>
      </w:r>
    </w:p>
    <w:p>
      <w:pPr>
        <w:pStyle w:val="Normal"/>
        <w:keepNext w:val="true"/>
        <w:rPr>
          <w:i/>
          <w:i/>
        </w:rPr>
      </w:pPr>
      <w:r>
        <w:rPr>
          <w:i/>
        </w:rPr>
        <w:t>Fair dealing</w:t>
      </w:r>
    </w:p>
    <w:p>
      <w:pPr>
        <w:pStyle w:val="Normal"/>
        <w:rPr/>
      </w:pPr>
      <w:r>
        <w:rPr/>
        <w:t>If a reproduction such as frame based website surfing is undertaken during the course of "fair dealing" then the destination entities copyright will not be infringed. To establish fair dealing, a web user or originating entity must establish two elements:</w:t>
      </w:r>
    </w:p>
    <w:p>
      <w:pPr>
        <w:pStyle w:val="Normal"/>
        <w:numPr>
          <w:ilvl w:val="0"/>
          <w:numId w:val="7"/>
        </w:numPr>
        <w:rPr/>
      </w:pPr>
      <w:r>
        <w:rPr/>
        <w:t>that the reproduction was "fair"; and</w:t>
      </w:r>
    </w:p>
    <w:p>
      <w:pPr>
        <w:pStyle w:val="Normal"/>
        <w:numPr>
          <w:ilvl w:val="0"/>
          <w:numId w:val="7"/>
        </w:numPr>
        <w:rPr/>
      </w:pPr>
      <w:r>
        <w:rPr/>
        <w:t xml:space="preserve">that the reproduction/link fell within one of the categories established by legislation as a dealing to which the fair dealing defence applies. </w:t>
      </w:r>
    </w:p>
    <w:p>
      <w:pPr>
        <w:pStyle w:val="Normal"/>
        <w:rPr/>
      </w:pPr>
      <w:r>
        <w:rPr/>
        <w:t xml:space="preserve">"Fair" is not defined in legislation, however is well established as a question of degree. That is, what is fair with regard to reproduction is established with regard to all the circumstances, the nature of the material, and the intention of both the copyright owner and the person doing the reproducing act. </w:t>
      </w:r>
    </w:p>
    <w:p>
      <w:pPr>
        <w:pStyle w:val="Normal"/>
        <w:rPr/>
      </w:pPr>
      <w:r>
        <w:rPr/>
        <w:t>The dealings covered by fair dealing include:</w:t>
      </w:r>
    </w:p>
    <w:p>
      <w:pPr>
        <w:pStyle w:val="Normal"/>
        <w:numPr>
          <w:ilvl w:val="0"/>
          <w:numId w:val="5"/>
        </w:numPr>
        <w:rPr/>
      </w:pPr>
      <w:r>
        <w:rPr/>
        <w:t>for research and private study (section 29);</w:t>
      </w:r>
    </w:p>
    <w:p>
      <w:pPr>
        <w:pStyle w:val="Normal"/>
        <w:numPr>
          <w:ilvl w:val="0"/>
          <w:numId w:val="5"/>
        </w:numPr>
        <w:rPr/>
      </w:pPr>
      <w:r>
        <w:rPr/>
        <w:t xml:space="preserve">for criticism or review (section 30); or </w:t>
      </w:r>
    </w:p>
    <w:p>
      <w:pPr>
        <w:pStyle w:val="Normal"/>
        <w:numPr>
          <w:ilvl w:val="0"/>
          <w:numId w:val="5"/>
        </w:numPr>
        <w:rPr/>
      </w:pPr>
      <w:r>
        <w:rPr/>
        <w:t>reporting current events (section 30(2)).</w:t>
      </w:r>
    </w:p>
    <w:p>
      <w:pPr>
        <w:pStyle w:val="Normal"/>
        <w:rPr/>
      </w:pPr>
      <w:r>
        <w:rPr/>
        <w:t xml:space="preserve">There will be circumstances in which both surfing and hot linking can be justified and defended on the basis of fair dealing under UK law. However, this is not a defence that will have general application to all instances of surfing or all instances of hot link creation. </w:t>
      </w:r>
    </w:p>
    <w:p>
      <w:pPr>
        <w:pStyle w:val="Normal"/>
        <w:rPr>
          <w:i/>
          <w:i/>
        </w:rPr>
      </w:pPr>
      <w:r>
        <w:rPr>
          <w:i/>
        </w:rPr>
        <w:t>Implied licence/authorisation</w:t>
      </w:r>
    </w:p>
    <w:p>
      <w:pPr>
        <w:pStyle w:val="Normal"/>
        <w:rPr/>
      </w:pPr>
      <w:r>
        <w:rPr/>
        <w:t xml:space="preserve">The owner of a copyright has the right to licence or authorise others to undertake one or more of the exclusive rights granted to the holder of the copyright. Such a licence or authorisation can be implied from the circumstances surrounding publication or distribution of that copyright at work. </w:t>
      </w:r>
    </w:p>
    <w:p>
      <w:pPr>
        <w:pStyle w:val="Normal"/>
        <w:rPr/>
      </w:pPr>
      <w:r>
        <w:rPr/>
        <w:t>It is arguable that by placing material on the Internet, owners of copyright are granting implied licences to the rest of the world to create hot links to and thus reproduce in temporary files that information. The rationale for that is based on the nature of the Internet itself. That is, the Internet is a network of networks. Without hot linking, there is little guidance or direction given to finding, using and applying information stored on the Internet. If the simple act of accessing someone's website results in a reproduction and that is the only way in which the copyright information can be accessed, then there must be implied licence for that reproduction to occur.</w:t>
      </w:r>
    </w:p>
    <w:p>
      <w:pPr>
        <w:pStyle w:val="Normal"/>
        <w:rPr/>
      </w:pPr>
      <w:r>
        <w:rPr/>
        <w:t>As simple as that proposition seems, an issue arises as to the scope of this implied licence. It seems clear that the implied licence extends to hot linking and accessing information and documents contained on websites. However, the issue is whether or not the implied licence extends to the display of a destination site within a frame on the originating site or otherwise altering the presentation of the destination site. It must be remembered that in displaying a web site within a frame, for all intents and purposes the web user is still reading the site as if they were at the originating site, not the destination site. It could be argued by parties with copyright in web site material that the implied licence to use a link to web site material does not extend to a right to place that material in a frame and thereby alter the perception that the web user gets of that material.</w:t>
      </w:r>
    </w:p>
    <w:p>
      <w:pPr>
        <w:pStyle w:val="Normal"/>
        <w:rPr/>
      </w:pPr>
      <w:r>
        <w:rPr/>
        <w:t>This is one of the arguments put in a complaint filed in the United Stated District Court (Southern District of New York) on behalf of The Washington Post, Time Inc, Entertainment Weekly Inc, The Cable News Network Inc and others against a company called "Total News Inc". In that situation, Total News provides a service over the Internet at www.totalnews.com  whereby links are provided to a wide variety of news services including CNN, MSNBC and Reuters.  Those links are displayed in a frame with the News guidance system on the left and Total News advertising on the bottom. The complaint alleges amongst other things that this is a breach of the copyright of the plaintiffs. The complaint alleged:</w:t>
      </w:r>
    </w:p>
    <w:p>
      <w:pPr>
        <w:pStyle w:val="Normal"/>
        <w:rPr>
          <w:i/>
          <w:i/>
        </w:rPr>
      </w:pPr>
      <w:r>
        <w:rPr>
          <w:i/>
        </w:rPr>
        <w:t>"[That the] defendants infringed all of [the material of the destination sites] by republishing this material, or otherwise making available without plaintiff's consent at the Total News web site on [specific dates].</w:t>
      </w:r>
    </w:p>
    <w:p>
      <w:pPr>
        <w:pStyle w:val="Normal"/>
        <w:rPr/>
      </w:pPr>
      <w:r>
        <w:rPr/>
        <w:t xml:space="preserve">This case was settled without judicial determination. It seems likely, in view of the implied licence argument being used by originating entities, that destination entities will increasingly contain express limitations on the implied licence to link to that page. Those terms may include non-framing provisions, good faith search engines, good faith information links and cross referencing of documents other than for commercial purposes.  Thus it is essential that where a frame is to be used to link to another page, that the web site is checked to see if it contains any such limitations.  If it does then they will have to be complied with. </w:t>
      </w:r>
    </w:p>
    <w:p>
      <w:pPr>
        <w:pStyle w:val="Normal"/>
        <w:rPr/>
      </w:pPr>
      <w:r>
        <w:rPr/>
        <w:t xml:space="preserve">Thus, from a legal basis, while it will be difficult to maintain and support an action from infringement based on the use of an URL or simple link, it may be arguable that the implied licence to link to web site does not extend to the use of software that produces that link in a frame. A recent US case </w:t>
      </w:r>
      <w:r>
        <w:rPr>
          <w:i/>
        </w:rPr>
        <w:t>Futuredontics Inc v Applied Anagramics Inc</w:t>
      </w:r>
      <w:r>
        <w:rPr>
          <w:rStyle w:val="FootnoteCharacters"/>
          <w:rStyle w:val="FootnoteReference"/>
          <w:i/>
        </w:rPr>
        <w:footnoteReference w:id="4"/>
      </w:r>
      <w:r>
        <w:rPr>
          <w:i/>
        </w:rPr>
        <w:t xml:space="preserve"> </w:t>
      </w:r>
      <w:r>
        <w:rPr/>
        <w:t xml:space="preserve">suggested that framing did not constitute a breach of copyright, but its effects are uncertain as the plaintiff was in a close relationship with defendant.  Regardless, this issue is likely to produce a shift in website design as corporations narrow the scope of originating entities ability to leverage off their content. </w:t>
      </w:r>
    </w:p>
    <w:p>
      <w:pPr>
        <w:pStyle w:val="Normal"/>
        <w:rPr>
          <w:i/>
          <w:i/>
        </w:rPr>
      </w:pPr>
      <w:r>
        <w:rPr>
          <w:i/>
        </w:rPr>
        <w:t>Copyright breaches in link sites</w:t>
      </w:r>
    </w:p>
    <w:p>
      <w:pPr>
        <w:pStyle w:val="Normal"/>
        <w:rPr/>
      </w:pPr>
      <w:r>
        <w:rPr/>
        <w:t xml:space="preserve">In the recent US case </w:t>
      </w:r>
      <w:r>
        <w:rPr>
          <w:i/>
        </w:rPr>
        <w:t>Bernstein v JC Penney Inc</w:t>
      </w:r>
      <w:r>
        <w:rPr>
          <w:rStyle w:val="FootnoteCharacters"/>
          <w:rStyle w:val="FootnoteReference"/>
        </w:rPr>
        <w:footnoteReference w:id="5"/>
      </w:r>
      <w:r>
        <w:rPr/>
        <w:t xml:space="preserve"> a Californian federal judge dismissed copyright infringement allegations against defendants who maintained links that via other links, eventually led to a Swedish website where allegedly infringing photographs were displayed.  This is believed to be the first decision on copyright liability for linking to other sites that display infringing materials.  The case was dismissed without comment from the judge, but the defendant argued that the case should not be entertained as a finding for the plaintiff would destroy the Internet as a means of world-wide communication and cripple the ability of originating entities to maintain links to other sites.  </w:t>
      </w:r>
    </w:p>
    <w:p>
      <w:pPr>
        <w:pStyle w:val="Normal"/>
        <w:rPr/>
      </w:pPr>
      <w:r>
        <w:rPr/>
        <w:t xml:space="preserve">The case suggests that originating entities, at least where acting in good faith, are not responsible for breaches of copyright that occur on sites that may be reached using links on sites that are linked to the original site.  Whether this tentative US decision will be followed in the UK is uncertain.  </w:t>
      </w:r>
    </w:p>
    <w:p>
      <w:pPr>
        <w:pStyle w:val="Normal"/>
        <w:rPr>
          <w:i/>
          <w:i/>
        </w:rPr>
      </w:pPr>
      <w:r>
        <w:rPr>
          <w:i/>
        </w:rPr>
        <w:t>Moral Rights</w:t>
      </w:r>
    </w:p>
    <w:p>
      <w:pPr>
        <w:pStyle w:val="Normal"/>
        <w:rPr/>
      </w:pPr>
      <w:r>
        <w:rPr/>
        <w:t>The final area of copyright worth considering is that of moral rights. Chapter 4 of the CDPA protects the moral rights of the author of a work. The two rights that the author benefits from are known as the rights of paternity and integrity.  The right of paternity requires that the author shall have the right to be identified as the author of the work each time it is published, broadcast or displayed.  This right will only subsist if the author has asserted his authorship in the first place by including a term in an assignment or a by separate notice in writing.  The right of integrity entitles the author not to have his work subjected to derogatory treatment, that is, a distortion of the work that is prejudicial to the honour or reputation of the author.</w:t>
      </w:r>
    </w:p>
    <w:p>
      <w:pPr>
        <w:pStyle w:val="Normal"/>
        <w:rPr/>
      </w:pPr>
      <w:r>
        <w:rPr/>
        <w:t>Moral rights are relatively new to the rights available under copyright law.  Therefore, their applicability in the general law is still untested, to say nothing of the possible impact on the online world.</w:t>
      </w:r>
    </w:p>
    <w:p>
      <w:pPr>
        <w:pStyle w:val="Normal"/>
        <w:rPr>
          <w:b/>
        </w:rPr>
      </w:pPr>
      <w:r>
        <w:rPr>
          <w:b/>
        </w:rPr>
        <w:t>Common law torts</w:t>
      </w:r>
    </w:p>
    <w:p>
      <w:pPr>
        <w:pStyle w:val="Normal"/>
        <w:rPr/>
      </w:pPr>
      <w:r>
        <w:rPr/>
        <w:t>The common law protects trade reputation through the tort of "passing off" and is thus open to plaintiffs in actions regarding surfing and hot linking on the web. For a successful claim under the tort of passing off, a plaintiff must show the following three elements</w:t>
      </w:r>
      <w:r>
        <w:rPr>
          <w:rStyle w:val="FootnoteCharacters"/>
          <w:rStyle w:val="FootnoteReference"/>
        </w:rPr>
        <w:footnoteReference w:id="6"/>
      </w:r>
      <w:r>
        <w:rPr/>
        <w:t>:</w:t>
      </w:r>
    </w:p>
    <w:p>
      <w:pPr>
        <w:pStyle w:val="Normal"/>
        <w:numPr>
          <w:ilvl w:val="0"/>
          <w:numId w:val="13"/>
        </w:numPr>
        <w:rPr/>
      </w:pPr>
      <w:r>
        <w:rPr/>
        <w:t>That he has established a reputation or goodwill in respect of his goods or services, by association with their get-up, which is recognised as distinctive;</w:t>
      </w:r>
    </w:p>
    <w:p>
      <w:pPr>
        <w:pStyle w:val="Normal"/>
        <w:numPr>
          <w:ilvl w:val="0"/>
          <w:numId w:val="13"/>
        </w:numPr>
        <w:rPr/>
      </w:pPr>
      <w:r>
        <w:rPr/>
        <w:t>That the defendant made a misrepresentation to the public leading them to believe that his goods are those of the plaintiff; and</w:t>
      </w:r>
    </w:p>
    <w:p>
      <w:pPr>
        <w:pStyle w:val="Normal"/>
        <w:numPr>
          <w:ilvl w:val="0"/>
          <w:numId w:val="13"/>
        </w:numPr>
        <w:rPr/>
      </w:pPr>
      <w:r>
        <w:rPr/>
        <w:t xml:space="preserve">That as a result the plaintiff has suffered, or is likely to suffer, damage.  </w:t>
      </w:r>
    </w:p>
    <w:p>
      <w:pPr>
        <w:pStyle w:val="Normal"/>
        <w:rPr/>
      </w:pPr>
      <w:r>
        <w:rPr/>
        <w:t xml:space="preserve">To establish the passing off claim in the area of web surfing and linking, the destination entity would have to prove to the court that the originating entity was providing a link to the destination site in such a way as to misrepresent or deceive web users that the contents of the destination site belonged to the originating entity. Further, the originating entity would have to prove that they suffered damages as a result of that misrepresentation. </w:t>
      </w:r>
    </w:p>
    <w:p>
      <w:pPr>
        <w:pStyle w:val="Normal"/>
        <w:rPr/>
      </w:pPr>
      <w:r>
        <w:rPr/>
        <w:t xml:space="preserve">Looking at the case of the Shetland News/Shetland Times, the Shetland Times would have to show that web users travelling through the Shetland News site to the Shetland Times site believed as a result of the process of linking established by Shetland News that the information contained on the Shetland Times site actually belonged to or was generated by the Shetland News. Then the Shetland Times would have to establish some sort of damage suffered by way of lost advertising revenue as a result of that misrepresentation. </w:t>
      </w:r>
    </w:p>
    <w:p>
      <w:pPr>
        <w:pStyle w:val="Normal"/>
        <w:rPr/>
      </w:pPr>
      <w:r>
        <w:rPr/>
        <w:t>There will be a number of impediments to a party such as the Shetland Times establishing such an argument. Namely that non-frames based hot links result in a change in the location on a browser. That is, if a web user was to look at which location they had moved to, it would be apparent they had moved to the Shetland Times site. Similarly, if they were to bookmark the site or otherwise move around using links established at that site it would become clear they were using information contained on the Shetland Times site.</w:t>
      </w:r>
    </w:p>
    <w:p>
      <w:pPr>
        <w:pStyle w:val="Normal"/>
        <w:rPr/>
      </w:pPr>
      <w:r>
        <w:rPr/>
        <w:t>In the circumstances surrounding the Total News litigation, the issue is less clear but still unlikely to lead to a successful claim for passing off. When a party uses the Total News software at the Total News site to move through the different Internet news services, there is no attempt made by Total News to black out the headings or the content of the destination site. Thus a web user would still be aware that they were viewing news prepared and published by CNN, Reuters or one of the other news service providers. It would only be in circumstances where Total News deleted references to the destination entity and somehow represented that the news being provided by that site was prepared by Total News itself could any potential passing off action have a chance of success.</w:t>
      </w:r>
    </w:p>
    <w:p>
      <w:pPr>
        <w:pStyle w:val="Normal"/>
        <w:rPr/>
      </w:pPr>
      <w:r>
        <w:rPr/>
        <w:t>Thus while an action for passing off is possible in relation to surfing and hot linking no actions have been launched concerning the use of links for on-line passing off in the UK as at the date of this paper.  The only related cases concern passing off through the use of domain names similar to those of large well known corporations</w:t>
      </w:r>
      <w:r>
        <w:rPr>
          <w:rStyle w:val="FootnoteCharacters"/>
          <w:rStyle w:val="FootnoteReference"/>
        </w:rPr>
        <w:footnoteReference w:id="7"/>
      </w:r>
      <w:r>
        <w:rPr/>
        <w:t xml:space="preserve">. </w:t>
      </w:r>
    </w:p>
    <w:p>
      <w:pPr>
        <w:pStyle w:val="Normal"/>
        <w:spacing w:before="0" w:after="200"/>
        <w:rPr/>
      </w:pPr>
      <w:r>
        <w:rPr/>
        <w:t xml:space="preserve">In the USA there would be a number of other tortious actions available to a plaintiff destination entity. America has developed a greater spectrum of economic torts than UK, including common law actions for misappropriation and unfair competition. The lawyers for the plaintiff in the Total News litigation seem determined to test the application of those torts to the on-line world. </w:t>
      </w:r>
    </w:p>
    <w:sectPr>
      <w:footerReference w:type="default" r:id="rId2"/>
      <w:footnotePr>
        <w:numFmt w:val="decimal"/>
      </w:footnotePr>
      <w:type w:val="nextPage"/>
      <w:pgSz w:w="11906" w:h="16838"/>
      <w:pgMar w:left="1701" w:right="1701" w:gutter="0" w:header="0" w:top="1440"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London-1/361113/01</w:t>
          </w:r>
        </w:p>
      </w:tc>
      <w:tc>
        <w:tcPr>
          <w:tcW w:w="2900" w:type="dxa"/>
          <w:tcBorders/>
          <w:vAlign w:val="bottom"/>
        </w:tcPr>
        <w:p>
          <w:pPr>
            <w:pStyle w:val="Footer"/>
            <w:jc w:val="center"/>
            <w:rPr>
              <w:sz w:val="22"/>
            </w:rPr>
          </w:pPr>
          <w:r>
            <w:rPr>
              <w:sz w:val="22"/>
              <w:lang w:val="en-CA"/>
            </w:rPr>
            <w:fldChar w:fldCharType="begin"/>
          </w:r>
          <w:r>
            <w:rPr>
              <w:sz w:val="22"/>
              <w:lang w:val="en-CA"/>
            </w:rPr>
            <w:instrText xml:space="preserve"> IF  "" ""</w:instrText>
          </w:r>
          <w:r>
            <w:rPr>
              <w:sz w:val="22"/>
              <w:lang w:val="en-CA"/>
            </w:rPr>
            <w:fldChar w:fldCharType="separate"/>
          </w:r>
          <w:r>
            <w:rPr>
              <w:sz w:val="22"/>
              <w:lang w:val="en-CA"/>
            </w:rPr>
          </w:r>
          <w:r>
            <w:rPr>
              <w:sz w:val="22"/>
              <w:lang w:val="en-CA"/>
            </w:rPr>
            <w:fldChar w:fldCharType="end"/>
          </w:r>
        </w:p>
      </w:tc>
      <w:tc>
        <w:tcPr>
          <w:tcW w:w="2900" w:type="dxa"/>
          <w:tcBorders/>
          <w:vAlign w:val="bottom"/>
        </w:tcPr>
        <w:p>
          <w:pPr>
            <w:pStyle w:val="Footer"/>
            <w:jc w:val="end"/>
            <w:rPr/>
          </w:pPr>
          <w:r>
            <w:rPr/>
            <w:t>E3270/00253</w:t>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00"/>
        <w:ind w:hanging="113" w:start="113" w:end="0"/>
        <w:rPr/>
      </w:pPr>
      <w:r>
        <w:rPr>
          <w:rStyle w:val="FootnoteCharacters"/>
        </w:rPr>
        <w:footnoteRef/>
      </w:r>
      <w:r>
        <w:rPr/>
        <w:t xml:space="preserve"> </w:t>
      </w:r>
      <w:r>
        <w:rPr/>
        <w:t>[1989] OJ L40/1</w:t>
      </w:r>
    </w:p>
  </w:footnote>
  <w:footnote w:id="3">
    <w:p>
      <w:pPr>
        <w:pStyle w:val="FootnoteText"/>
        <w:spacing w:before="0" w:after="100"/>
        <w:ind w:hanging="113" w:start="113" w:end="0"/>
        <w:rPr/>
      </w:pPr>
      <w:r>
        <w:rPr>
          <w:rStyle w:val="FootnoteCharacters"/>
        </w:rPr>
        <w:footnoteRef/>
      </w:r>
      <w:r>
        <w:rPr/>
        <w:t xml:space="preserve"> </w:t>
      </w:r>
      <w:r>
        <w:rPr/>
        <w:t>Shetland Times Ltd v (1) Dr Jonathan Wills (2) ZET News Ltd 1997</w:t>
      </w:r>
    </w:p>
  </w:footnote>
  <w:footnote w:id="4">
    <w:p>
      <w:pPr>
        <w:pStyle w:val="FootnoteText"/>
        <w:spacing w:before="0" w:after="100"/>
        <w:ind w:hanging="113" w:start="113" w:end="0"/>
        <w:rPr/>
      </w:pPr>
      <w:r>
        <w:rPr>
          <w:rStyle w:val="FootnoteCharacters"/>
        </w:rPr>
        <w:footnoteRef/>
      </w:r>
      <w:r>
        <w:rPr/>
        <w:t xml:space="preserve"> </w:t>
      </w:r>
      <w:r>
        <w:rPr/>
        <w:t>No 97-56711, 1998 US App (9th Cir 7/23/98)</w:t>
      </w:r>
    </w:p>
  </w:footnote>
  <w:footnote w:id="5">
    <w:p>
      <w:pPr>
        <w:pStyle w:val="FootnoteText"/>
        <w:spacing w:before="0" w:after="100"/>
        <w:ind w:hanging="113" w:start="113" w:end="0"/>
        <w:rPr/>
      </w:pPr>
      <w:r>
        <w:rPr>
          <w:rStyle w:val="FootnoteCharacters"/>
        </w:rPr>
        <w:footnoteRef/>
      </w:r>
      <w:r>
        <w:rPr/>
        <w:t xml:space="preserve"> </w:t>
      </w:r>
      <w:r>
        <w:rPr/>
        <w:t>No 98-2958-R (CD CA, dismissal Sept. 22, 1998)</w:t>
      </w:r>
    </w:p>
  </w:footnote>
  <w:footnote w:id="6">
    <w:p>
      <w:pPr>
        <w:pStyle w:val="FootnoteText"/>
        <w:spacing w:before="0" w:after="100"/>
        <w:ind w:hanging="113" w:start="113" w:end="0"/>
        <w:rPr/>
      </w:pPr>
      <w:r>
        <w:rPr>
          <w:rStyle w:val="FootnoteCharacters"/>
        </w:rPr>
        <w:footnoteRef/>
      </w:r>
      <w:r>
        <w:rPr/>
        <w:t xml:space="preserve"> </w:t>
      </w:r>
      <w:r>
        <w:rPr/>
        <w:t>Reckitt &amp; Colman Products Limited v Borden Inc [1990] 1 All ER 873</w:t>
      </w:r>
    </w:p>
  </w:footnote>
  <w:footnote w:id="7">
    <w:p>
      <w:pPr>
        <w:pStyle w:val="FootnoteText"/>
        <w:spacing w:before="0" w:after="100"/>
        <w:ind w:hanging="113" w:start="113" w:end="0"/>
        <w:rPr/>
      </w:pPr>
      <w:r>
        <w:rPr>
          <w:rStyle w:val="FootnoteCharacters"/>
        </w:rPr>
        <w:footnoteRef/>
      </w:r>
      <w:r>
        <w:rPr/>
        <w:t xml:space="preserve"> </w:t>
      </w:r>
      <w:r>
        <w:rPr/>
        <w:t>(1) British Telecommunications Plc (2) Virgin Enterprises Ltd (3) J Sainsbury Plc (4) Marks &amp; Spencer Plc (5) Ladbroke Plc v One In A Million Ltd &amp; ORS (1998); (1) Pitman Training Ltd (2) Pearson Professional Ltd v (1) Nominet UK (2) Pearson Professional Ltd (1997)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3">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4">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5">
    <w:lvl w:ilvl="0">
      <w:start w:val="1"/>
      <w:numFmt w:val="bullet"/>
      <w:lvlText w:val=""/>
      <w:lvlJc w:val="start"/>
      <w:pPr>
        <w:tabs>
          <w:tab w:val="num" w:pos="360"/>
        </w:tabs>
        <w:ind w:start="360" w:hanging="360"/>
      </w:pPr>
      <w:rPr>
        <w:rFonts w:ascii="Symbol" w:hAnsi="Symbol" w:cs="Symbol" w:hint="default"/>
        <w:sz w:val="22"/>
      </w:rPr>
    </w:lvl>
  </w:abstractNum>
  <w:abstractNum w:abstractNumId="6">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7">
    <w:lvl w:ilvl="0">
      <w:start w:val="1"/>
      <w:numFmt w:val="bullet"/>
      <w:lvlText w:val=""/>
      <w:lvlJc w:val="start"/>
      <w:pPr>
        <w:tabs>
          <w:tab w:val="num" w:pos="360"/>
        </w:tabs>
        <w:ind w:start="360" w:hanging="360"/>
      </w:pPr>
      <w:rPr>
        <w:rFonts w:ascii="Symbol" w:hAnsi="Symbol" w:cs="Symbol" w:hint="default"/>
        <w:sz w:val="22"/>
      </w:rPr>
    </w:lvl>
  </w:abstractNum>
  <w:abstractNum w:abstractNumId="8">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1">
    <w:lvl w:ilvl="0">
      <w:start w:val="1"/>
      <w:numFmt w:val="upperLetter"/>
      <w:lvlText w:val="Part %1"/>
      <w:lvlJc w:val="start"/>
      <w:pPr>
        <w:tabs>
          <w:tab w:val="num" w:pos="612"/>
        </w:tabs>
        <w:ind w:start="0" w:hanging="0"/>
      </w:pPr>
      <w:rPr>
        <w:sz w:val="21"/>
        <w:b/>
        <w:rFonts w:ascii="CG Times" w:hAnsi="CG Times" w:cs="CG Times"/>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BodyText"/>
    <w:qFormat/>
    <w:pPr>
      <w:keepNext w:val="true"/>
      <w:numPr>
        <w:ilvl w:val="0"/>
        <w:numId w:val="1"/>
      </w:numPr>
      <w:tabs>
        <w:tab w:val="clear" w:pos="720"/>
        <w:tab w:val="left" w:pos="22" w:leader="none"/>
      </w:tabs>
      <w:spacing w:before="100" w:after="100"/>
      <w:outlineLvl w:val="0"/>
    </w:pPr>
    <w:rPr>
      <w:b/>
      <w:caps/>
      <w:kern w:val="2"/>
      <w:sz w:val="20"/>
    </w:rPr>
  </w:style>
  <w:style w:type="paragraph" w:styleId="Heading2">
    <w:name w:val="heading 2"/>
    <w:basedOn w:val="Normal"/>
    <w:next w:val="BodyText"/>
    <w:qFormat/>
    <w:pPr>
      <w:numPr>
        <w:ilvl w:val="1"/>
        <w:numId w:val="1"/>
      </w:numPr>
      <w:tabs>
        <w:tab w:val="clear" w:pos="720"/>
        <w:tab w:val="left" w:pos="22" w:leader="none"/>
      </w:tabs>
      <w:outlineLvl w:val="1"/>
    </w:pPr>
    <w:rPr>
      <w:kern w:val="2"/>
    </w:rPr>
  </w:style>
  <w:style w:type="paragraph" w:styleId="Heading3">
    <w:name w:val="heading 3"/>
    <w:basedOn w:val="Normal"/>
    <w:next w:val="BodyText2"/>
    <w:qFormat/>
    <w:pPr>
      <w:numPr>
        <w:ilvl w:val="2"/>
        <w:numId w:val="1"/>
      </w:numPr>
      <w:tabs>
        <w:tab w:val="clear" w:pos="720"/>
        <w:tab w:val="left" w:pos="50" w:leader="none"/>
      </w:tabs>
      <w:outlineLvl w:val="2"/>
    </w:pPr>
    <w:rPr/>
  </w:style>
  <w:style w:type="paragraph" w:styleId="Heading4">
    <w:name w:val="heading 4"/>
    <w:basedOn w:val="Normal"/>
    <w:next w:val="BodyText3"/>
    <w:qFormat/>
    <w:pPr>
      <w:numPr>
        <w:ilvl w:val="3"/>
        <w:numId w:val="1"/>
      </w:numPr>
      <w:tabs>
        <w:tab w:val="clear" w:pos="720"/>
        <w:tab w:val="left" w:pos="68" w:leader="none"/>
      </w:tabs>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3z0">
    <w:name w:val="WW8Num3z0"/>
    <w:qFormat/>
    <w:rPr>
      <w:rFonts w:ascii="CG Times" w:hAnsi="CG Times" w:cs="CG Times"/>
      <w:b w:val="false"/>
      <w:i w:val="false"/>
      <w:sz w:val="20"/>
    </w:rPr>
  </w:style>
  <w:style w:type="character" w:styleId="WW8Num3z1">
    <w:name w:val="WW8Num3z1"/>
    <w:qFormat/>
    <w:rPr>
      <w:b w:val="false"/>
      <w:i w:val="false"/>
      <w:sz w:val="20"/>
    </w:rPr>
  </w:style>
  <w:style w:type="character" w:styleId="WW8Num3z4">
    <w:name w:val="WW8Num3z4"/>
    <w:qFormat/>
    <w:rPr>
      <w:b w:val="false"/>
      <w:i w:val="false"/>
      <w:sz w:val="18"/>
    </w:rPr>
  </w:style>
  <w:style w:type="character" w:styleId="WW8Num3z8">
    <w:name w:val="WW8Num3z8"/>
    <w:qFormat/>
    <w:rPr>
      <w:b/>
      <w:i w:val="false"/>
      <w:caps/>
      <w:sz w:val="22"/>
    </w:rPr>
  </w:style>
  <w:style w:type="character" w:styleId="WW8Num4z0">
    <w:name w:val="WW8Num4z0"/>
    <w:qFormat/>
    <w:rPr>
      <w:rFonts w:ascii="CG Times" w:hAnsi="CG Times" w:cs="CG Times"/>
      <w:b w:val="false"/>
      <w:i w:val="false"/>
      <w:sz w:val="20"/>
    </w:rPr>
  </w:style>
  <w:style w:type="character" w:styleId="WW8Num4z1">
    <w:name w:val="WW8Num4z1"/>
    <w:qFormat/>
    <w:rPr>
      <w:b w:val="false"/>
      <w:i w:val="false"/>
      <w:sz w:val="20"/>
    </w:rPr>
  </w:style>
  <w:style w:type="character" w:styleId="WW8Num4z4">
    <w:name w:val="WW8Num4z4"/>
    <w:qFormat/>
    <w:rPr>
      <w:b w:val="false"/>
      <w:i w:val="false"/>
      <w:sz w:val="18"/>
    </w:rPr>
  </w:style>
  <w:style w:type="character" w:styleId="WW8Num4z8">
    <w:name w:val="WW8Num4z8"/>
    <w:qFormat/>
    <w:rPr>
      <w:b/>
      <w:i w:val="false"/>
      <w:caps/>
      <w:sz w:val="22"/>
    </w:rPr>
  </w:style>
  <w:style w:type="character" w:styleId="WW8Num5z0">
    <w:name w:val="WW8Num5z0"/>
    <w:qFormat/>
    <w:rPr>
      <w:rFonts w:ascii="CG Times" w:hAnsi="CG Times" w:cs="CG Times"/>
      <w:b w:val="false"/>
      <w:i w:val="false"/>
      <w:sz w:val="20"/>
    </w:rPr>
  </w:style>
  <w:style w:type="character" w:styleId="WW8Num5z1">
    <w:name w:val="WW8Num5z1"/>
    <w:qFormat/>
    <w:rPr>
      <w:b w:val="false"/>
      <w:i w:val="false"/>
      <w:sz w:val="20"/>
    </w:rPr>
  </w:style>
  <w:style w:type="character" w:styleId="WW8Num5z2">
    <w:name w:val="WW8Num5z2"/>
    <w:qFormat/>
    <w:rPr>
      <w:b w:val="false"/>
      <w:i w:val="false"/>
      <w:sz w:val="18"/>
    </w:rPr>
  </w:style>
  <w:style w:type="character" w:styleId="WW8Num5z8">
    <w:name w:val="WW8Num5z8"/>
    <w:qFormat/>
    <w:rPr>
      <w:b/>
      <w:i w:val="false"/>
      <w:caps/>
      <w:sz w:val="22"/>
    </w:rPr>
  </w:style>
  <w:style w:type="character" w:styleId="WW8Num6z0">
    <w:name w:val="WW8Num6z0"/>
    <w:qFormat/>
    <w:rPr>
      <w:rFonts w:ascii="CG Times" w:hAnsi="CG Times" w:cs="CG Times"/>
      <w:b w:val="false"/>
      <w:i w:val="false"/>
      <w:sz w:val="18"/>
    </w:rPr>
  </w:style>
  <w:style w:type="character" w:styleId="WW8Num6z1">
    <w:name w:val="WW8Num6z1"/>
    <w:qFormat/>
    <w:rPr>
      <w:b w:val="false"/>
      <w:i w:val="false"/>
      <w:sz w:val="18"/>
    </w:rPr>
  </w:style>
  <w:style w:type="character" w:styleId="WW8Num6z3">
    <w:name w:val="WW8Num6z3"/>
    <w:qFormat/>
    <w:rPr>
      <w:b w:val="false"/>
      <w:i w:val="false"/>
      <w:sz w:val="20"/>
    </w:rPr>
  </w:style>
  <w:style w:type="character" w:styleId="WW8Num6z8">
    <w:name w:val="WW8Num6z8"/>
    <w:qFormat/>
    <w:rPr>
      <w:b/>
      <w:i w:val="false"/>
      <w:caps/>
      <w:sz w:val="22"/>
    </w:rPr>
  </w:style>
  <w:style w:type="character" w:styleId="WW8Num7z0">
    <w:name w:val="WW8Num7z0"/>
    <w:qFormat/>
    <w:rPr>
      <w:rFonts w:ascii="Symbol" w:hAnsi="Symbol" w:cs="Symbol"/>
      <w:sz w:val="22"/>
    </w:rPr>
  </w:style>
  <w:style w:type="character" w:styleId="WW8Num8z0">
    <w:name w:val="WW8Num8z0"/>
    <w:qFormat/>
    <w:rPr>
      <w:rFonts w:ascii="Symbol" w:hAnsi="Symbol" w:cs="Symbol"/>
      <w:sz w:val="22"/>
    </w:rPr>
  </w:style>
  <w:style w:type="character" w:styleId="WW8Num9z0">
    <w:name w:val="WW8Num9z0"/>
    <w:qFormat/>
    <w:rPr>
      <w:rFonts w:ascii="CG Times" w:hAnsi="CG Times" w:cs="CG Times"/>
      <w:b w:val="false"/>
      <w:i w:val="false"/>
      <w:sz w:val="20"/>
    </w:rPr>
  </w:style>
  <w:style w:type="character" w:styleId="WW8Num9z1">
    <w:name w:val="WW8Num9z1"/>
    <w:qFormat/>
    <w:rPr>
      <w:b w:val="false"/>
      <w:i w:val="false"/>
      <w:sz w:val="20"/>
    </w:rPr>
  </w:style>
  <w:style w:type="character" w:styleId="WW8Num9z2">
    <w:name w:val="WW8Num9z2"/>
    <w:qFormat/>
    <w:rPr>
      <w:b w:val="false"/>
      <w:i w:val="false"/>
      <w:sz w:val="18"/>
    </w:rPr>
  </w:style>
  <w:style w:type="character" w:styleId="WW8Num9z8">
    <w:name w:val="WW8Num9z8"/>
    <w:qFormat/>
    <w:rPr>
      <w:b/>
      <w:i w:val="false"/>
      <w:caps/>
      <w:sz w:val="22"/>
    </w:rPr>
  </w:style>
  <w:style w:type="character" w:styleId="WW8Num10z0">
    <w:name w:val="WW8Num10z0"/>
    <w:qFormat/>
    <w:rPr>
      <w:rFonts w:ascii="Symbol" w:hAnsi="Symbol" w:cs="Symbol"/>
      <w:sz w:val="22"/>
    </w:rPr>
  </w:style>
  <w:style w:type="character" w:styleId="WW8Num11z0">
    <w:name w:val="WW8Num11z0"/>
    <w:qFormat/>
    <w:rPr>
      <w:rFonts w:ascii="CG Times" w:hAnsi="CG Times" w:cs="CG Times"/>
      <w:b w:val="false"/>
      <w:i w:val="false"/>
      <w:sz w:val="20"/>
    </w:rPr>
  </w:style>
  <w:style w:type="character" w:styleId="WW8Num11z1">
    <w:name w:val="WW8Num11z1"/>
    <w:qFormat/>
    <w:rPr>
      <w:b w:val="false"/>
      <w:i w:val="false"/>
      <w:sz w:val="20"/>
    </w:rPr>
  </w:style>
  <w:style w:type="character" w:styleId="WW8Num11z4">
    <w:name w:val="WW8Num11z4"/>
    <w:qFormat/>
    <w:rPr>
      <w:b w:val="false"/>
      <w:i w:val="false"/>
      <w:sz w:val="18"/>
    </w:rPr>
  </w:style>
  <w:style w:type="character" w:styleId="WW8Num11z8">
    <w:name w:val="WW8Num11z8"/>
    <w:qFormat/>
    <w:rPr>
      <w:b/>
      <w:i w:val="false"/>
      <w:caps/>
      <w:sz w:val="22"/>
    </w:rPr>
  </w:style>
  <w:style w:type="character" w:styleId="WW8Num12z0">
    <w:name w:val="WW8Num12z0"/>
    <w:qFormat/>
    <w:rPr>
      <w:rFonts w:ascii="Symbol" w:hAnsi="Symbol" w:cs="Symbol"/>
    </w:rPr>
  </w:style>
  <w:style w:type="character" w:styleId="WW8Num15z0">
    <w:name w:val="WW8Num15z0"/>
    <w:qFormat/>
    <w:rPr>
      <w:rFonts w:ascii="CG Times" w:hAnsi="CG Times" w:cs="CG Times"/>
      <w:b/>
      <w:sz w:val="21"/>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6"/>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Signature">
    <w:name w:val="Signature"/>
    <w:basedOn w:val="Normal"/>
    <w:pPr>
      <w:ind w:hanging="0" w:start="4252" w:end="0"/>
    </w:pPr>
    <w:rPr/>
  </w:style>
  <w:style w:type="paragraph" w:styleId="ListAlpha1">
    <w:name w:val="List Alpha 1"/>
    <w:basedOn w:val="Normal"/>
    <w:next w:val="BodyText"/>
    <w:qFormat/>
    <w:pPr>
      <w:numPr>
        <w:ilvl w:val="0"/>
        <w:numId w:val="8"/>
      </w:numPr>
      <w:tabs>
        <w:tab w:val="clear" w:pos="720"/>
        <w:tab w:val="left" w:pos="22" w:leader="none"/>
      </w:tabs>
    </w:pPr>
    <w:rPr/>
  </w:style>
  <w:style w:type="paragraph" w:styleId="ListAlpha2">
    <w:name w:val="List Alpha 2"/>
    <w:basedOn w:val="Normal"/>
    <w:next w:val="BodyText2"/>
    <w:qFormat/>
    <w:pPr>
      <w:numPr>
        <w:ilvl w:val="0"/>
        <w:numId w:val="8"/>
      </w:numPr>
      <w:tabs>
        <w:tab w:val="clear" w:pos="720"/>
        <w:tab w:val="left" w:pos="50" w:leader="none"/>
      </w:tabs>
    </w:pPr>
    <w:rPr/>
  </w:style>
  <w:style w:type="paragraph" w:styleId="ListAlpha3">
    <w:name w:val="List Alpha 3"/>
    <w:basedOn w:val="Normal"/>
    <w:next w:val="BodyText3"/>
    <w:qFormat/>
    <w:pPr>
      <w:numPr>
        <w:ilvl w:val="0"/>
        <w:numId w:val="8"/>
      </w:numPr>
      <w:tabs>
        <w:tab w:val="clear" w:pos="720"/>
        <w:tab w:val="left" w:pos="68" w:leader="none"/>
      </w:tabs>
    </w:pPr>
    <w:rPr/>
  </w:style>
  <w:style w:type="paragraph" w:styleId="ListALPHACAPS1">
    <w:name w:val="List ALPHA CAPS 1"/>
    <w:basedOn w:val="Normal"/>
    <w:next w:val="BodyText"/>
    <w:qFormat/>
    <w:pPr>
      <w:numPr>
        <w:ilvl w:val="0"/>
        <w:numId w:val="3"/>
      </w:numPr>
      <w:tabs>
        <w:tab w:val="clear" w:pos="720"/>
        <w:tab w:val="left" w:pos="22" w:leader="none"/>
      </w:tabs>
    </w:pPr>
    <w:rPr/>
  </w:style>
  <w:style w:type="paragraph" w:styleId="LISTALPHACAPS2">
    <w:name w:val="LIST ALPHA CAPS 2"/>
    <w:basedOn w:val="Normal"/>
    <w:next w:val="BodyText2"/>
    <w:qFormat/>
    <w:pPr>
      <w:numPr>
        <w:ilvl w:val="0"/>
        <w:numId w:val="3"/>
      </w:numPr>
      <w:tabs>
        <w:tab w:val="clear" w:pos="720"/>
        <w:tab w:val="left" w:pos="50" w:leader="none"/>
      </w:tabs>
    </w:pPr>
    <w:rPr/>
  </w:style>
  <w:style w:type="paragraph" w:styleId="LISTALPHACAPS3">
    <w:name w:val="LIST ALPHA CAPS 3"/>
    <w:basedOn w:val="Normal"/>
    <w:next w:val="BodyText3"/>
    <w:qFormat/>
    <w:pPr>
      <w:numPr>
        <w:ilvl w:val="0"/>
        <w:numId w:val="3"/>
      </w:numPr>
      <w:tabs>
        <w:tab w:val="clear" w:pos="720"/>
        <w:tab w:val="left" w:pos="68" w:leader="none"/>
      </w:tabs>
    </w:pPr>
    <w:rPr/>
  </w:style>
  <w:style w:type="paragraph" w:styleId="ListArabic1">
    <w:name w:val="List Arabic 1"/>
    <w:basedOn w:val="Normal"/>
    <w:next w:val="BodyText"/>
    <w:qFormat/>
    <w:pPr>
      <w:numPr>
        <w:ilvl w:val="0"/>
        <w:numId w:val="2"/>
      </w:numPr>
      <w:tabs>
        <w:tab w:val="clear" w:pos="720"/>
        <w:tab w:val="left" w:pos="22" w:leader="none"/>
      </w:tabs>
    </w:pPr>
    <w:rPr/>
  </w:style>
  <w:style w:type="paragraph" w:styleId="ListArabic2">
    <w:name w:val="List Arabic 2"/>
    <w:basedOn w:val="Normal"/>
    <w:next w:val="BodyText2"/>
    <w:qFormat/>
    <w:pPr>
      <w:numPr>
        <w:ilvl w:val="0"/>
        <w:numId w:val="2"/>
      </w:numPr>
      <w:tabs>
        <w:tab w:val="clear" w:pos="720"/>
        <w:tab w:val="left" w:pos="50" w:leader="none"/>
      </w:tabs>
    </w:pPr>
    <w:rPr/>
  </w:style>
  <w:style w:type="paragraph" w:styleId="ListArabic3">
    <w:name w:val="List Arabic 3"/>
    <w:basedOn w:val="Normal"/>
    <w:next w:val="BodyText3"/>
    <w:qFormat/>
    <w:pPr>
      <w:numPr>
        <w:ilvl w:val="0"/>
        <w:numId w:val="2"/>
      </w:numPr>
      <w:tabs>
        <w:tab w:val="clear" w:pos="720"/>
        <w:tab w:val="left" w:pos="68" w:leader="none"/>
      </w:tabs>
    </w:pPr>
    <w:rPr/>
  </w:style>
  <w:style w:type="paragraph" w:styleId="ListArabic4">
    <w:name w:val="List Arabic 4"/>
    <w:basedOn w:val="Normal"/>
    <w:next w:val="BodyText4"/>
    <w:qFormat/>
    <w:pPr>
      <w:numPr>
        <w:ilvl w:val="0"/>
        <w:numId w:val="6"/>
      </w:numPr>
      <w:tabs>
        <w:tab w:val="clear" w:pos="720"/>
        <w:tab w:val="left" w:pos="86" w:leader="none"/>
      </w:tabs>
    </w:pPr>
    <w:rPr/>
  </w:style>
  <w:style w:type="paragraph" w:styleId="ListLegal1">
    <w:name w:val="List Legal 1"/>
    <w:basedOn w:val="Normal"/>
    <w:next w:val="BodyText"/>
    <w:qFormat/>
    <w:pPr>
      <w:numPr>
        <w:ilvl w:val="0"/>
        <w:numId w:val="6"/>
      </w:numPr>
      <w:tabs>
        <w:tab w:val="clear" w:pos="720"/>
        <w:tab w:val="left" w:pos="22" w:leader="none"/>
      </w:tabs>
    </w:pPr>
    <w:rPr/>
  </w:style>
  <w:style w:type="paragraph" w:styleId="ListLegal2">
    <w:name w:val="List Legal 2"/>
    <w:basedOn w:val="Normal"/>
    <w:next w:val="BodyText"/>
    <w:qFormat/>
    <w:pPr>
      <w:numPr>
        <w:ilvl w:val="0"/>
        <w:numId w:val="6"/>
      </w:numPr>
      <w:tabs>
        <w:tab w:val="clear" w:pos="720"/>
        <w:tab w:val="left" w:pos="22" w:leader="none"/>
      </w:tabs>
    </w:pPr>
    <w:rPr/>
  </w:style>
  <w:style w:type="paragraph" w:styleId="ListLegal3">
    <w:name w:val="List Legal 3"/>
    <w:basedOn w:val="Normal"/>
    <w:next w:val="BodyText2"/>
    <w:qFormat/>
    <w:pPr>
      <w:numPr>
        <w:ilvl w:val="0"/>
        <w:numId w:val="6"/>
      </w:numPr>
      <w:tabs>
        <w:tab w:val="clear" w:pos="720"/>
        <w:tab w:val="left" w:pos="50" w:leader="none"/>
      </w:tabs>
    </w:pPr>
    <w:rPr/>
  </w:style>
  <w:style w:type="paragraph" w:styleId="ListRoman1">
    <w:name w:val="List Roman 1"/>
    <w:basedOn w:val="Normal"/>
    <w:next w:val="BodyText"/>
    <w:qFormat/>
    <w:pPr>
      <w:numPr>
        <w:ilvl w:val="0"/>
        <w:numId w:val="4"/>
      </w:numPr>
      <w:tabs>
        <w:tab w:val="clear" w:pos="720"/>
        <w:tab w:val="left" w:pos="22" w:leader="none"/>
      </w:tabs>
    </w:pPr>
    <w:rPr/>
  </w:style>
  <w:style w:type="paragraph" w:styleId="ListRoman2">
    <w:name w:val="List Roman 2"/>
    <w:basedOn w:val="Normal"/>
    <w:next w:val="BodyText2"/>
    <w:qFormat/>
    <w:pPr>
      <w:numPr>
        <w:ilvl w:val="0"/>
        <w:numId w:val="4"/>
      </w:numPr>
      <w:tabs>
        <w:tab w:val="clear" w:pos="720"/>
        <w:tab w:val="left" w:pos="50" w:leader="none"/>
      </w:tabs>
    </w:pPr>
    <w:rPr/>
  </w:style>
  <w:style w:type="paragraph" w:styleId="ListRoman3">
    <w:name w:val="List Roman 3"/>
    <w:basedOn w:val="Normal"/>
    <w:next w:val="BodyText3"/>
    <w:qFormat/>
    <w:pPr>
      <w:numPr>
        <w:ilvl w:val="0"/>
        <w:numId w:val="4"/>
      </w:numPr>
      <w:tabs>
        <w:tab w:val="clear" w:pos="720"/>
        <w:tab w:val="left" w:pos="68" w:leader="none"/>
      </w:tabs>
    </w:pPr>
    <w:rPr/>
  </w:style>
  <w:style w:type="paragraph" w:styleId="TOC2">
    <w:name w:val="toc 2"/>
    <w:basedOn w:val="Normal"/>
    <w:next w:val="Normal"/>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numPr>
        <w:ilvl w:val="0"/>
        <w:numId w:val="10"/>
      </w:numPr>
      <w:spacing w:before="0" w:after="100"/>
    </w:pPr>
    <w:rPr/>
  </w:style>
  <w:style w:type="paragraph" w:styleId="NotesArabic">
    <w:name w:val="Notes Arabic"/>
    <w:basedOn w:val="Normal"/>
    <w:qFormat/>
    <w:pPr>
      <w:numPr>
        <w:ilvl w:val="0"/>
        <w:numId w:val="10"/>
      </w:numPr>
      <w:spacing w:before="0" w:after="100"/>
    </w:pPr>
    <w:rPr/>
  </w:style>
  <w:style w:type="paragraph" w:styleId="NotesRoman">
    <w:name w:val="Notes Roman"/>
    <w:basedOn w:val="Normal"/>
    <w:qFormat/>
    <w:pPr>
      <w:numPr>
        <w:ilvl w:val="0"/>
        <w:numId w:val="10"/>
      </w:numPr>
      <w:tabs>
        <w:tab w:val="clear" w:pos="720"/>
        <w:tab w:val="left" w:pos="624" w:leader="none"/>
      </w:tabs>
      <w:spacing w:before="0" w:after="100"/>
    </w:pPr>
    <w:rPr/>
  </w:style>
  <w:style w:type="paragraph" w:styleId="RightTab">
    <w:name w:val="Right Tab"/>
    <w:basedOn w:val="Normal"/>
    <w:next w:val="Normal"/>
    <w:qFormat/>
    <w:pPr>
      <w:tabs>
        <w:tab w:val="clear" w:pos="720"/>
        <w:tab w:val="right" w:pos="8505" w:leader="none"/>
      </w:tabs>
      <w:spacing w:before="0" w:after="100"/>
    </w:pPr>
    <w:rPr/>
  </w:style>
  <w:style w:type="paragraph" w:styleId="TOC1">
    <w:name w:val="toc 1"/>
    <w:basedOn w:val="Normal"/>
    <w:next w:val="Normal"/>
    <w:pPr/>
    <w:rPr/>
  </w:style>
  <w:style w:type="paragraph" w:styleId="TOC3">
    <w:name w:val="toc 3"/>
    <w:basedOn w:val="Normal"/>
    <w:next w:val="Normal"/>
    <w:pPr/>
    <w:rPr/>
  </w:style>
  <w:style w:type="paragraph" w:styleId="TOC4">
    <w:name w:val="toc 4"/>
    <w:basedOn w:val="Normal"/>
    <w:next w:val="Normal"/>
    <w:pPr/>
    <w:rPr/>
  </w:style>
  <w:style w:type="paragraph" w:styleId="PartHeadings">
    <w:name w:val="Part Headings"/>
    <w:basedOn w:val="Normal"/>
    <w:next w:val="Normal"/>
    <w:qFormat/>
    <w:pPr>
      <w:numPr>
        <w:ilvl w:val="0"/>
        <w:numId w:val="11"/>
      </w:numPr>
      <w:suppressAutoHyphens w:val="true"/>
      <w:spacing w:lineRule="auto" w:line="312" w:before="0" w:after="300"/>
      <w:jc w:val="center"/>
      <w:outlineLvl w:val="2"/>
    </w:pPr>
    <w:rPr>
      <w:b/>
      <w:sz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Other CC Document.Dot</Template>
  <TotalTime>457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1999-05-21T13:22:00Z</dcterms:created>
  <dc:creator>Patrick Huggard</dc:creator>
  <dc:description/>
  <dc:language>en-CA</dc:language>
  <cp:lastModifiedBy>Timothy Hughes</cp:lastModifiedBy>
  <cp:lastPrinted>1999-05-27T17:30:00Z</cp:lastPrinted>
  <dcterms:modified xsi:type="dcterms:W3CDTF">1999-05-27T14:00:00Z</dcterms:modified>
  <cp:revision>30</cp:revision>
  <dc:subject/>
  <dc:title/>
</cp:coreProperties>
</file>