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720"/>
        <w:rPr>
          <w:rStyle w:val="LetterDate"/>
        </w:rPr>
      </w:pPr>
      <w:r>
        <w:rPr>
          <w:rStyle w:val="LetterDate"/>
          <w:lang w:val="en-CA"/>
        </w:rPr>
        <w:t>July 3, 2001</w:t>
      </w:r>
    </w:p>
    <w:p>
      <w:pPr>
        <w:pStyle w:val="EnvelopeAddress"/>
        <w:rPr/>
      </w:pPr>
      <w:r>
        <w:rPr/>
        <w:t>Docket Clerk</w:t>
      </w:r>
    </w:p>
    <w:p>
      <w:pPr>
        <w:pStyle w:val="Address"/>
        <w:rPr/>
      </w:pPr>
      <w:r>
        <w:rPr/>
        <w:t>California Public Utilities Commission</w:t>
      </w:r>
    </w:p>
    <w:p>
      <w:pPr>
        <w:pStyle w:val="Address"/>
        <w:rPr/>
      </w:pPr>
      <w:r>
        <w:rPr/>
        <w:t>505 Van Ness Avenue, Room 2001</w:t>
      </w:r>
    </w:p>
    <w:p>
      <w:pPr>
        <w:pStyle w:val="Address"/>
        <w:rPr/>
      </w:pPr>
      <w:r>
        <w:rPr/>
        <w:t>San Francisco, CA  94102</w:t>
      </w:r>
    </w:p>
    <w:p>
      <w:pPr>
        <w:pStyle w:val="Address"/>
        <w:rPr/>
      </w:pPr>
      <w:r>
        <w:rPr/>
      </w:r>
    </w:p>
    <w:p>
      <w:pPr>
        <w:pStyle w:val="Normal"/>
        <w:tabs>
          <w:tab w:val="clear" w:pos="720"/>
          <w:tab w:val="left" w:pos="900" w:leader="none"/>
          <w:tab w:val="left" w:pos="4410" w:leader="none"/>
        </w:tabs>
        <w:rPr>
          <w:sz w:val="24"/>
          <w:szCs w:val="24"/>
        </w:rPr>
      </w:pPr>
      <w:r>
        <w:rPr>
          <w:sz w:val="24"/>
          <w:szCs w:val="24"/>
        </w:rPr>
        <w:t>Re:</w:t>
        <w:tab/>
      </w:r>
      <w:r>
        <w:rPr>
          <w:sz w:val="24"/>
          <w:szCs w:val="24"/>
          <w:u w:val="single"/>
        </w:rPr>
        <w:t>A. 00-11-038, A. 00-11-056, A. 00-10-028</w:t>
      </w:r>
    </w:p>
    <w:p>
      <w:pPr>
        <w:pStyle w:val="Normal"/>
        <w:tabs>
          <w:tab w:val="clear" w:pos="720"/>
          <w:tab w:val="left" w:pos="900" w:leader="none"/>
          <w:tab w:val="left" w:pos="4410" w:leader="none"/>
        </w:tabs>
        <w:rPr>
          <w:sz w:val="24"/>
          <w:szCs w:val="24"/>
        </w:rPr>
      </w:pPr>
      <w:r>
        <w:rPr>
          <w:sz w:val="24"/>
          <w:szCs w:val="24"/>
        </w:rPr>
      </w:r>
    </w:p>
    <w:p>
      <w:pPr>
        <w:pStyle w:val="BodyText"/>
        <w:rPr/>
      </w:pPr>
      <w:r>
        <w:rPr/>
        <w:t>Dear Sir/Madam:</w:t>
      </w:r>
    </w:p>
    <w:p>
      <w:pPr>
        <w:pStyle w:val="BodyText"/>
        <w:rPr/>
      </w:pPr>
      <w:r>
        <w:rPr/>
      </w:r>
    </w:p>
    <w:p>
      <w:pPr>
        <w:pStyle w:val="BodyText"/>
        <w:rPr/>
      </w:pPr>
      <w:r>
        <w:rPr/>
        <w:t>Enclosed for filing are the original and five (5) copies of the “</w:t>
      </w:r>
      <w:r>
        <w:rPr>
          <w:b/>
          <w:bCs/>
        </w:rPr>
        <w:t>MOTION OF PACIFIC GAS AND ELECTRIC COMPANY TO ESTABLISH FINAL MARKET VALUATION OF NON-NUCLEAR GENERATING ASSETS PURSUANT TO PUBLIC UTILITIES CODE SECTION 376</w:t>
      </w:r>
      <w:r>
        <w:rPr/>
        <w:t>” in the above-captioned matter.</w:t>
      </w:r>
    </w:p>
    <w:p>
      <w:pPr>
        <w:pStyle w:val="BodyText"/>
        <w:rPr/>
      </w:pPr>
      <w:r>
        <w:rPr/>
      </w:r>
    </w:p>
    <w:p>
      <w:pPr>
        <w:pStyle w:val="BodyText"/>
        <w:rPr/>
      </w:pPr>
      <w:r>
        <w:rPr/>
        <w:t>Please file the original document, date-stamp one copy, and place the copy in PG&amp;E’s box for pick-up.</w:t>
      </w:r>
    </w:p>
    <w:p>
      <w:pPr>
        <w:pStyle w:val="BodyText"/>
        <w:rPr/>
      </w:pPr>
      <w:r>
        <w:rPr/>
      </w:r>
    </w:p>
    <w:p>
      <w:pPr>
        <w:pStyle w:val="Normal"/>
        <w:rPr>
          <w:sz w:val="24"/>
          <w:szCs w:val="24"/>
        </w:rPr>
      </w:pPr>
      <w:r>
        <w:rPr>
          <w:sz w:val="24"/>
          <w:szCs w:val="24"/>
        </w:rPr>
        <w:t>Very truly yours,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Christopher J. Warner</w:t>
      </w:r>
    </w:p>
    <w:p>
      <w:pPr>
        <w:pStyle w:val="Normal"/>
        <w:rPr>
          <w:sz w:val="24"/>
          <w:szCs w:val="24"/>
        </w:rPr>
      </w:pPr>
      <w:r>
        <w:rPr>
          <w:sz w:val="24"/>
          <w:szCs w:val="24"/>
        </w:rPr>
      </w:r>
    </w:p>
    <w:p>
      <w:pPr>
        <w:pStyle w:val="Normal"/>
        <w:rPr>
          <w:sz w:val="24"/>
          <w:szCs w:val="24"/>
        </w:rPr>
      </w:pPr>
      <w:bookmarkStart w:id="0" w:name="InitialsLine"/>
      <w:bookmarkEnd w:id="0"/>
      <w:r>
        <w:rPr>
          <w:sz w:val="24"/>
          <w:szCs w:val="24"/>
        </w:rPr>
        <w:t>CJW:mw</w:t>
      </w:r>
    </w:p>
    <w:p>
      <w:pPr>
        <w:pStyle w:val="BodyText"/>
        <w:rPr>
          <w:sz w:val="24"/>
          <w:szCs w:val="24"/>
        </w:rPr>
      </w:pPr>
      <w:r>
        <w:rPr>
          <w:sz w:val="24"/>
          <w:szCs w:val="24"/>
        </w:rPr>
      </w:r>
    </w:p>
    <w:p>
      <w:pPr>
        <w:pStyle w:val="BodyText"/>
        <w:rPr/>
      </w:pPr>
      <w:r>
        <w:rPr/>
        <w:t>Enclosures</w:t>
      </w:r>
    </w:p>
    <w:p>
      <w:pPr>
        <w:pStyle w:val="BodyText"/>
        <w:rPr/>
      </w:pPr>
      <w:r>
        <w:rPr/>
      </w:r>
    </w:p>
    <w:p>
      <w:pPr>
        <w:pStyle w:val="BodyText"/>
        <w:rPr/>
      </w:pPr>
      <w:r>
        <w:rPr/>
        <w:t>cc:</w:t>
        <w:tab/>
        <w:t>Commissioner Loretta M. Lynch</w:t>
      </w:r>
    </w:p>
    <w:p>
      <w:pPr>
        <w:pStyle w:val="BodyText"/>
        <w:ind w:firstLine="720" w:end="0"/>
        <w:rPr/>
      </w:pPr>
      <w:r>
        <w:rPr/>
        <w:t>ALJ Christine M. Walwyn</w:t>
      </w:r>
    </w:p>
    <w:p>
      <w:pPr>
        <w:pStyle w:val="BodyText"/>
        <w:ind w:firstLine="720" w:end="0"/>
        <w:rPr/>
      </w:pPr>
      <w:r>
        <w:rPr/>
        <w:t>ALJ Joseph R. DeUlloa</w:t>
      </w:r>
    </w:p>
    <w:p>
      <w:pPr>
        <w:pStyle w:val="BodyText"/>
        <w:ind w:firstLine="720" w:end="0"/>
        <w:rPr/>
      </w:pPr>
      <w:r>
        <w:rPr/>
        <w:t>ALJ John S. Wong</w:t>
      </w:r>
    </w:p>
    <w:p>
      <w:pPr>
        <w:pStyle w:val="BodyText"/>
        <w:ind w:firstLine="720" w:end="0"/>
        <w:rPr/>
      </w:pPr>
      <w:r>
        <w:rPr/>
        <w:t>Service List A. 00-11-038, A. 00-11-056, A. 00-10-028</w:t>
      </w:r>
    </w:p>
    <w:p>
      <w:pPr>
        <w:pStyle w:val="BodyText"/>
        <w:rPr/>
      </w:pPr>
      <w:r>
        <w:rPr/>
      </w:r>
    </w:p>
    <w:p>
      <w:pPr>
        <w:pStyle w:val="BodyText"/>
        <w:rPr/>
      </w:pPr>
      <w:r>
        <w:rPr/>
      </w:r>
      <w:r>
        <w:br w:type="page"/>
      </w:r>
    </w:p>
    <w:p>
      <w:pPr>
        <w:pStyle w:val="Head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main"/>
        <w:widowControl/>
        <w:rPr>
          <w:rFonts w:ascii="Times New Roman" w:hAnsi="Times New Roman" w:eastAsia="Times New Roman" w:cs="Times New Roman"/>
          <w:sz w:val="24"/>
          <w:szCs w:val="24"/>
        </w:rPr>
      </w:pPr>
      <w:r>
        <w:rPr>
          <w:rFonts w:eastAsia="Times New Roman" w:cs="Times New Roman" w:ascii="Times New Roman" w:hAnsi="Times New Roman"/>
          <w:sz w:val="24"/>
          <w:szCs w:val="24"/>
        </w:rPr>
        <w:t>BEFORE THE PUBLIC UTILITIES COMMISSION OF THE STATE OF CALIFORNIA</w:t>
      </w:r>
    </w:p>
    <w:p>
      <w:pPr>
        <w:pStyle w:val="Normal"/>
        <w:widowControl/>
        <w:suppressAutoHyphens w:val="true"/>
        <w:rPr>
          <w:rFonts w:ascii="Times New Roman" w:hAnsi="Times New Roman" w:eastAsia="Times New Roman" w:cs="Times New Roman"/>
          <w:sz w:val="24"/>
          <w:szCs w:val="24"/>
        </w:rPr>
      </w:pPr>
      <w:r>
        <w:rPr>
          <w:rFonts w:eastAsia="Times New Roman" w:cs="Times New Roman"/>
          <w:sz w:val="24"/>
          <w:szCs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top w:val="dashed" w:sz="6" w:space="0" w:color="auto"/>
              <w:start w:val="dashed" w:sz="6" w:space="0" w:color="auto"/>
              <w:bottom w:val="dashed" w:sz="6" w:space="0" w:color="auto"/>
              <w:end w:val="single" w:sz="6" w:space="0" w:color="000000"/>
            </w:tcBorders>
          </w:tcPr>
          <w:p>
            <w:pPr>
              <w:pStyle w:val="Normal"/>
              <w:widowControl/>
              <w:tabs>
                <w:tab w:val="clear" w:pos="720"/>
                <w:tab w:val="left" w:pos="2160" w:leader="none"/>
                <w:tab w:val="left" w:pos="3600" w:leader="none"/>
              </w:tabs>
              <w:rPr>
                <w:sz w:val="24"/>
                <w:szCs w:val="24"/>
              </w:rPr>
            </w:pPr>
            <w:r>
              <w:rPr>
                <w:sz w:val="24"/>
                <w:szCs w:val="24"/>
              </w:rPr>
              <w:t>Application of Southern California Edison Company (E 3338-E) for Authority to Institute a Rate Stabilization Plan with a Rate Increase and End of Rate Freeze Tariffs.</w:t>
            </w:r>
          </w:p>
          <w:p>
            <w:pPr>
              <w:pStyle w:val="Normal"/>
              <w:widowControl/>
              <w:rPr>
                <w:sz w:val="24"/>
                <w:szCs w:val="24"/>
              </w:rPr>
            </w:pPr>
            <w:r>
              <w:rPr>
                <w:sz w:val="24"/>
                <w:szCs w:val="24"/>
              </w:rPr>
            </w:r>
          </w:p>
        </w:tc>
        <w:tc>
          <w:tcPr>
            <w:tcW w:w="328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sz w:val="24"/>
                <w:szCs w:val="24"/>
              </w:rPr>
            </w:pPr>
            <w:r>
              <w:rPr>
                <w:sz w:val="24"/>
                <w:szCs w:val="24"/>
              </w:rPr>
            </w:r>
          </w:p>
          <w:p>
            <w:pPr>
              <w:pStyle w:val="Normal"/>
              <w:widowControl/>
              <w:jc w:val="center"/>
              <w:rPr>
                <w:sz w:val="24"/>
                <w:szCs w:val="24"/>
              </w:rPr>
            </w:pPr>
            <w:r>
              <w:rPr>
                <w:sz w:val="24"/>
                <w:szCs w:val="24"/>
              </w:rPr>
              <w:t>Application 00-11-038</w:t>
            </w:r>
          </w:p>
          <w:p>
            <w:pPr>
              <w:pStyle w:val="Normal"/>
              <w:widowControl/>
              <w:jc w:val="center"/>
              <w:rPr>
                <w:sz w:val="24"/>
                <w:szCs w:val="24"/>
              </w:rPr>
            </w:pPr>
            <w:r>
              <w:rPr>
                <w:sz w:val="24"/>
                <w:szCs w:val="24"/>
              </w:rPr>
              <w:t>(Filed November 16, 2000)</w:t>
            </w:r>
          </w:p>
        </w:tc>
      </w:tr>
      <w:tr>
        <w:trPr/>
        <w:tc>
          <w:tcPr>
            <w:tcW w:w="5958" w:type="dxa"/>
            <w:tcBorders>
              <w:top w:val="single" w:sz="6" w:space="0" w:color="000000"/>
              <w:start w:val="dashed" w:sz="6" w:space="0" w:color="auto"/>
              <w:bottom w:val="single" w:sz="6" w:space="0" w:color="000000"/>
              <w:end w:val="single" w:sz="6" w:space="0" w:color="000000"/>
            </w:tcBorders>
          </w:tcPr>
          <w:p>
            <w:pPr>
              <w:pStyle w:val="Normal"/>
              <w:widowControl/>
              <w:tabs>
                <w:tab w:val="clear" w:pos="720"/>
                <w:tab w:val="left" w:pos="2160" w:leader="none"/>
                <w:tab w:val="left" w:pos="3600" w:leader="none"/>
              </w:tabs>
              <w:snapToGrid w:val="false"/>
              <w:rPr>
                <w:sz w:val="24"/>
                <w:szCs w:val="24"/>
              </w:rPr>
            </w:pPr>
            <w:r>
              <w:rPr>
                <w:sz w:val="24"/>
                <w:szCs w:val="24"/>
              </w:rPr>
            </w:r>
          </w:p>
          <w:p>
            <w:pPr>
              <w:pStyle w:val="Normal"/>
              <w:widowControl/>
              <w:tabs>
                <w:tab w:val="clear" w:pos="720"/>
                <w:tab w:val="left" w:pos="2160" w:leader="none"/>
                <w:tab w:val="left" w:pos="3600" w:leader="none"/>
              </w:tabs>
              <w:rPr>
                <w:sz w:val="24"/>
                <w:szCs w:val="24"/>
              </w:rPr>
            </w:pPr>
            <w:r>
              <w:rPr>
                <w:sz w:val="24"/>
                <w:szCs w:val="24"/>
              </w:rPr>
              <w:t>Emergency Application of Pacific Gas and Electric Company to Adopt a Rate Stabilization Plan.  (U 39 E)</w:t>
            </w:r>
          </w:p>
          <w:p>
            <w:pPr>
              <w:pStyle w:val="Normal"/>
              <w:widowControl/>
              <w:tabs>
                <w:tab w:val="clear" w:pos="720"/>
                <w:tab w:val="left" w:pos="2160" w:leader="none"/>
                <w:tab w:val="left" w:pos="3600" w:leader="none"/>
              </w:tabs>
              <w:rPr>
                <w:sz w:val="24"/>
                <w:szCs w:val="24"/>
              </w:rPr>
            </w:pPr>
            <w:r>
              <w:rPr>
                <w:sz w:val="24"/>
                <w:szCs w:val="24"/>
              </w:rPr>
            </w:r>
          </w:p>
        </w:tc>
        <w:tc>
          <w:tcPr>
            <w:tcW w:w="328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sz w:val="24"/>
                <w:szCs w:val="24"/>
              </w:rPr>
            </w:pPr>
            <w:r>
              <w:rPr>
                <w:sz w:val="24"/>
                <w:szCs w:val="24"/>
              </w:rPr>
            </w:r>
          </w:p>
          <w:p>
            <w:pPr>
              <w:pStyle w:val="Footer"/>
              <w:widowControl/>
              <w:tabs>
                <w:tab w:val="clear" w:pos="4320"/>
                <w:tab w:val="clear" w:pos="8640"/>
              </w:tabs>
              <w:jc w:val="center"/>
              <w:rPr>
                <w:sz w:val="24"/>
                <w:szCs w:val="24"/>
              </w:rPr>
            </w:pPr>
            <w:r>
              <w:rPr>
                <w:sz w:val="24"/>
                <w:szCs w:val="24"/>
              </w:rPr>
              <w:t xml:space="preserve">    </w:t>
            </w:r>
            <w:r>
              <w:rPr>
                <w:sz w:val="24"/>
                <w:szCs w:val="24"/>
              </w:rPr>
              <w:t>Application 00-11-056</w:t>
            </w:r>
          </w:p>
          <w:p>
            <w:pPr>
              <w:pStyle w:val="Normal"/>
              <w:widowControl/>
              <w:jc w:val="center"/>
              <w:rPr>
                <w:sz w:val="24"/>
                <w:szCs w:val="24"/>
              </w:rPr>
            </w:pPr>
            <w:r>
              <w:rPr>
                <w:sz w:val="24"/>
                <w:szCs w:val="24"/>
              </w:rPr>
              <w:t>(Filed November 22, 2000)</w:t>
            </w:r>
          </w:p>
        </w:tc>
      </w:tr>
      <w:tr>
        <w:trPr/>
        <w:tc>
          <w:tcPr>
            <w:tcW w:w="5958" w:type="dxa"/>
            <w:tcBorders>
              <w:top w:val="dashed" w:sz="6" w:space="0" w:color="auto"/>
              <w:start w:val="dashed" w:sz="6" w:space="0" w:color="auto"/>
              <w:bottom w:val="single" w:sz="6" w:space="0" w:color="000000"/>
              <w:end w:val="single" w:sz="6" w:space="0" w:color="000000"/>
            </w:tcBorders>
          </w:tcPr>
          <w:p>
            <w:pPr>
              <w:pStyle w:val="Normal"/>
              <w:widowControl/>
              <w:tabs>
                <w:tab w:val="clear" w:pos="720"/>
                <w:tab w:val="left" w:pos="2160" w:leader="none"/>
                <w:tab w:val="left" w:pos="3600" w:leader="none"/>
              </w:tabs>
              <w:snapToGrid w:val="false"/>
              <w:rPr>
                <w:sz w:val="24"/>
                <w:szCs w:val="24"/>
              </w:rPr>
            </w:pPr>
            <w:r>
              <w:rPr>
                <w:sz w:val="24"/>
                <w:szCs w:val="24"/>
              </w:rPr>
            </w:r>
          </w:p>
          <w:p>
            <w:pPr>
              <w:pStyle w:val="Normal"/>
              <w:widowControl/>
              <w:tabs>
                <w:tab w:val="clear" w:pos="720"/>
                <w:tab w:val="left" w:pos="2160" w:leader="none"/>
                <w:tab w:val="left" w:pos="3600" w:leader="none"/>
              </w:tabs>
              <w:rPr>
                <w:sz w:val="24"/>
                <w:szCs w:val="24"/>
              </w:rPr>
            </w:pPr>
            <w:r>
              <w:rPr>
                <w:sz w:val="24"/>
                <w:szCs w:val="24"/>
              </w:rPr>
              <w:t>Petition of THE UTILITY REFORM NETWORK for Modification of Resolution E-3527.</w:t>
            </w:r>
          </w:p>
          <w:p>
            <w:pPr>
              <w:pStyle w:val="Normal"/>
              <w:widowControl/>
              <w:tabs>
                <w:tab w:val="clear" w:pos="720"/>
                <w:tab w:val="left" w:pos="2160" w:leader="none"/>
                <w:tab w:val="left" w:pos="3600" w:leader="none"/>
              </w:tabs>
              <w:rPr>
                <w:sz w:val="24"/>
                <w:szCs w:val="24"/>
              </w:rPr>
            </w:pPr>
            <w:r>
              <w:rPr>
                <w:sz w:val="24"/>
                <w:szCs w:val="24"/>
              </w:rPr>
            </w:r>
          </w:p>
        </w:tc>
        <w:tc>
          <w:tcPr>
            <w:tcW w:w="328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sz w:val="24"/>
                <w:szCs w:val="24"/>
              </w:rPr>
            </w:pPr>
            <w:r>
              <w:rPr>
                <w:sz w:val="24"/>
                <w:szCs w:val="24"/>
              </w:rPr>
            </w:r>
          </w:p>
          <w:p>
            <w:pPr>
              <w:pStyle w:val="Normal"/>
              <w:widowControl/>
              <w:jc w:val="center"/>
              <w:rPr>
                <w:sz w:val="24"/>
                <w:szCs w:val="24"/>
              </w:rPr>
            </w:pPr>
            <w:r>
              <w:rPr>
                <w:sz w:val="24"/>
                <w:szCs w:val="24"/>
              </w:rPr>
              <w:t>Application 00-10-028</w:t>
            </w:r>
          </w:p>
          <w:p>
            <w:pPr>
              <w:pStyle w:val="Normal"/>
              <w:widowControl/>
              <w:jc w:val="center"/>
              <w:rPr>
                <w:sz w:val="24"/>
                <w:szCs w:val="24"/>
              </w:rPr>
            </w:pPr>
            <w:r>
              <w:rPr>
                <w:sz w:val="24"/>
                <w:szCs w:val="24"/>
              </w:rPr>
              <w:t>(Filed October 17, 2000)</w:t>
            </w:r>
          </w:p>
        </w:tc>
      </w:tr>
    </w:tbl>
    <w:p>
      <w:pPr>
        <w:pStyle w:val="Normal"/>
        <w:widowControl/>
        <w:suppressAutoHyphens w:val="true"/>
        <w:rPr>
          <w:sz w:val="24"/>
          <w:szCs w:val="24"/>
        </w:rPr>
      </w:pPr>
      <w:r>
        <w:rPr>
          <w:sz w:val="24"/>
          <w:szCs w:val="24"/>
        </w:rPr>
      </w:r>
    </w:p>
    <w:p>
      <w:pPr>
        <w:pStyle w:val="Normal"/>
        <w:widowControl/>
        <w:rPr>
          <w:sz w:val="24"/>
          <w:szCs w:val="24"/>
        </w:rPr>
      </w:pPr>
      <w:r>
        <w:rPr>
          <w:sz w:val="24"/>
          <w:szCs w:val="24"/>
        </w:rPr>
      </w:r>
    </w:p>
    <w:p>
      <w:pPr>
        <w:pStyle w:val="Normal"/>
        <w:widowControl/>
        <w:jc w:val="center"/>
        <w:rPr>
          <w:b/>
          <w:bCs/>
          <w:sz w:val="24"/>
          <w:szCs w:val="24"/>
        </w:rPr>
      </w:pPr>
      <w:r>
        <w:rPr>
          <w:b/>
          <w:bCs/>
          <w:sz w:val="24"/>
          <w:szCs w:val="24"/>
        </w:rPr>
        <w:t xml:space="preserve">MOTION OF PACIFIC GAS AND ELECTRIC COMPANY </w:t>
      </w:r>
    </w:p>
    <w:p>
      <w:pPr>
        <w:pStyle w:val="Normal"/>
        <w:widowControl/>
        <w:jc w:val="center"/>
        <w:rPr>
          <w:b/>
          <w:bCs/>
          <w:sz w:val="24"/>
          <w:szCs w:val="24"/>
        </w:rPr>
      </w:pPr>
      <w:r>
        <w:rPr>
          <w:b/>
          <w:bCs/>
          <w:sz w:val="24"/>
          <w:szCs w:val="24"/>
        </w:rPr>
        <w:t xml:space="preserve">TO ESTABLISH FINAL MARKET VALUATION OF NON-NUCLEAR GENERATING ASSETS PURSUANT TO </w:t>
      </w:r>
    </w:p>
    <w:p>
      <w:pPr>
        <w:pStyle w:val="Normal"/>
        <w:widowControl/>
        <w:jc w:val="center"/>
        <w:rPr>
          <w:sz w:val="24"/>
          <w:szCs w:val="24"/>
        </w:rPr>
      </w:pPr>
      <w:r>
        <w:rPr>
          <w:b/>
          <w:bCs/>
          <w:sz w:val="24"/>
          <w:szCs w:val="24"/>
        </w:rPr>
        <w:t>PUBLIC UTILITIES CODE SECTION 367</w:t>
      </w:r>
    </w:p>
    <w:p>
      <w:pPr>
        <w:pStyle w:val="Normal"/>
        <w:widowControl/>
        <w:rPr>
          <w:sz w:val="24"/>
          <w:szCs w:val="24"/>
        </w:rPr>
      </w:pPr>
      <w:r>
        <w:rPr>
          <w:sz w:val="24"/>
          <w:szCs w:val="24"/>
        </w:rPr>
      </w:r>
    </w:p>
    <w:p>
      <w:pPr>
        <w:pStyle w:val="Heading1"/>
        <w:spacing w:before="120" w:after="60"/>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I.</w:t>
        <w:tab/>
        <w:t>INTRODUCTION</w:t>
      </w:r>
    </w:p>
    <w:p>
      <w:pPr>
        <w:pStyle w:val="Normal"/>
        <w:widowControl/>
        <w:spacing w:lineRule="auto" w:line="480" w:before="60" w:after="0"/>
        <w:ind w:firstLine="720" w:end="0"/>
        <w:rPr>
          <w:sz w:val="24"/>
          <w:szCs w:val="24"/>
        </w:rPr>
      </w:pPr>
      <w:r>
        <w:rPr>
          <w:sz w:val="24"/>
          <w:szCs w:val="24"/>
        </w:rPr>
        <w:t>Pursuant to Section 367(b) of the Public Utilities Code and Rule 45 of the California Public Utilities Commission’s (Commission’s or CPUC’s) Rules of Practice and Procedure, Pacific Gas and Electric Company files this “Motion to Establish Final Market Valuation of Non-Nuclear Generating Assets Pursuant to Public Utilities Code Section 367.”</w:t>
      </w:r>
      <w:r>
        <w:rPr>
          <w:rStyle w:val="FootnoteCharacters"/>
          <w:rStyle w:val="FootnoteReference"/>
        </w:rPr>
        <w:footnoteReference w:id="2"/>
      </w:r>
      <w:r>
        <w:rPr>
          <w:sz w:val="24"/>
          <w:szCs w:val="24"/>
        </w:rPr>
        <w:t xml:space="preserve">  This Motion requests that the Commission consolidate in this proceeding the existing record of PG&amp;E’s remaining major non-nuclear generating asset market valuation proceedings and immediately adopt a final market valuation for all of PG&amp;E’s remaining non-nuclear generating assets prior to establishing the revenue requirements and rates for PG&amp;E’s retained generating assets pursuant to the June, 15, 2001, “Chief Administrative Law Judge’s Ruling.”</w:t>
      </w:r>
      <w:r>
        <w:rPr>
          <w:rStyle w:val="FootnoteCharacters"/>
          <w:rStyle w:val="FootnoteReference"/>
        </w:rPr>
        <w:footnoteReference w:id="3"/>
      </w:r>
      <w:r>
        <w:rPr>
          <w:sz w:val="24"/>
          <w:szCs w:val="24"/>
        </w:rPr>
        <w:t xml:space="preserve">  PG&amp;E asks that the full Commission rule on its Motion as soon as possible and no later than July 19, 2001, so that PG&amp;E and interested parties have the benefit of the ruling prior to the beginning of hearings on July 23, 2001.</w:t>
      </w:r>
      <w:r>
        <w:rPr>
          <w:rStyle w:val="FootnoteCharacters"/>
          <w:rStyle w:val="FootnoteReference"/>
        </w:rPr>
        <w:footnoteReference w:id="4"/>
      </w:r>
    </w:p>
    <w:p>
      <w:pPr>
        <w:pStyle w:val="Heading1"/>
        <w:spacing w:before="60" w:after="60"/>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II.</w:t>
        <w:tab/>
        <w:t>THE COMMISSION MUST COMPLETE THE MARKET VALUATIONS REQUIRED BY PUBLIC UTILITIES CODE SECTION 367 BEFORE ESTABLISHING PG&amp;E’S RETAINED GENERATION RATES.</w:t>
      </w:r>
    </w:p>
    <w:p>
      <w:pPr>
        <w:pStyle w:val="Normal"/>
        <w:widowControl/>
        <w:spacing w:lineRule="auto" w:line="480" w:before="60" w:after="0"/>
        <w:ind w:firstLine="720" w:end="0"/>
        <w:rPr/>
      </w:pPr>
      <w:r>
        <w:rPr>
          <w:sz w:val="24"/>
          <w:szCs w:val="24"/>
        </w:rPr>
        <w:t>Section 367(b) of the Public Utilities Code by its terms requires the Commission to market value the utilities’ generation assets “</w:t>
      </w:r>
      <w:r>
        <w:rPr>
          <w:i/>
          <w:iCs/>
          <w:sz w:val="24"/>
          <w:szCs w:val="24"/>
        </w:rPr>
        <w:t>not later than</w:t>
      </w:r>
      <w:r>
        <w:rPr>
          <w:sz w:val="24"/>
          <w:szCs w:val="24"/>
        </w:rPr>
        <w:t xml:space="preserve"> December 31, 2001” (emphasis added), and to net the negative value of all above market generating assets against the positive value of all below market generating assets.  The Commission has not completed market valuations for PG&amp;E’s generating assets, and therefore may not legally determine the value of those assets for ratemaking purposes until such time as those market valuations are complete.  In fact, the Commission has taken no action whatsoever in A.99-09-053, PG&amp;E’s pending hydroelectric market valuation proceeding, since January 22, 2001 when the Chief Administrative Law Judge issued a ruling canceling a prehearing conference and public participation hearings, and extending the comment period on the draft environmental impact report.</w:t>
      </w:r>
      <w:r>
        <w:rPr>
          <w:rStyle w:val="FootnoteCharacters"/>
          <w:rStyle w:val="FootnoteReference"/>
        </w:rPr>
        <w:footnoteReference w:id="5"/>
      </w:r>
      <w:r>
        <w:rPr>
          <w:sz w:val="24"/>
          <w:szCs w:val="24"/>
        </w:rPr>
        <w:t xml:space="preserve">  </w:t>
      </w:r>
    </w:p>
    <w:p>
      <w:pPr>
        <w:pStyle w:val="Normal"/>
        <w:widowControl/>
        <w:spacing w:lineRule="auto" w:line="480"/>
        <w:ind w:firstLine="720" w:end="0"/>
        <w:rPr>
          <w:sz w:val="24"/>
          <w:szCs w:val="24"/>
        </w:rPr>
      </w:pPr>
      <w:r>
        <w:rPr>
          <w:sz w:val="24"/>
          <w:szCs w:val="24"/>
        </w:rPr>
        <w:t>Market valuation of PG&amp;E’s retained generating assets is an essential prerequisite to establishing their revenue requirement.  Under Section 367, the market valuation of an economic utility generating asset that remains dedicated to public utility service must be recoverable in future retail rates, because the utility has no option to recover the value any other way, such as through divestiture to a third party or market-based wholesale sales.  Assembly Bill 6 from the 2001- 2002 First Extraordinary Session (AB 6X) as signed into law repealed Public Utilities Code Section 216(h) and modified Section 377.</w:t>
      </w:r>
      <w:r>
        <w:rPr>
          <w:rStyle w:val="FootnoteCharacters"/>
          <w:rStyle w:val="FootnoteReference"/>
        </w:rPr>
        <w:footnoteReference w:id="6"/>
      </w:r>
      <w:r>
        <w:rPr>
          <w:sz w:val="24"/>
          <w:szCs w:val="24"/>
        </w:rPr>
        <w:t xml:space="preserve">  In particular, Section 377 as modified prohibits PG&amp;E from selling any of its existing generating assets until at least January 1, 2006, and requires that those assets be dedicated for the benefit of California ratepayers.  Thus, as the January 22, 2001, Chief ALJ Ruling in A.99-09-053 noted, AB 6X precludes the Commission from valuing PG&amp;E’s generating assets under Section 367 by sale or other divestiture, leaving appraisal as the only available method.</w:t>
      </w:r>
      <w:r>
        <w:rPr>
          <w:rStyle w:val="FootnoteCharacters"/>
          <w:rStyle w:val="FootnoteReference"/>
        </w:rPr>
        <w:footnoteReference w:id="7"/>
      </w:r>
    </w:p>
    <w:p>
      <w:pPr>
        <w:pStyle w:val="Normal"/>
        <w:widowControl/>
        <w:spacing w:lineRule="auto" w:line="480"/>
        <w:ind w:firstLine="720" w:end="0"/>
        <w:rPr>
          <w:sz w:val="24"/>
          <w:szCs w:val="24"/>
        </w:rPr>
      </w:pPr>
      <w:r>
        <w:rPr>
          <w:sz w:val="24"/>
          <w:szCs w:val="24"/>
        </w:rPr>
        <w:t>Nothing in AB 6X has modified the statutory mandate that the Commission fulfill the market valuation requirement in Section 367.  In comments filed on behalf of the California Resources Agency in A.99-09-053 after AB 6X was enacted, the Attorney General of California rendered his opinion regarding the interaction of Section 367 and AB 6X as follows:</w:t>
      </w:r>
    </w:p>
    <w:p>
      <w:pPr>
        <w:pStyle w:val="Normal"/>
        <w:widowControl/>
        <w:ind w:firstLine="720" w:start="720" w:end="720"/>
        <w:rPr>
          <w:sz w:val="24"/>
          <w:szCs w:val="24"/>
        </w:rPr>
      </w:pPr>
      <w:r>
        <w:rPr>
          <w:sz w:val="24"/>
          <w:szCs w:val="24"/>
        </w:rPr>
        <w:t>“</w:t>
      </w:r>
      <w:r>
        <w:rPr>
          <w:sz w:val="24"/>
          <w:szCs w:val="24"/>
        </w:rPr>
        <w:t>Although AB 6X now precludes PG&amp;E from disposing of any ‘facility for the generation of electricity’ prior to January 1, 2006, nothing in AB 6X has changed the requirement for the Commission to determine the market value of the hydroelectric generation assets.”</w:t>
      </w:r>
      <w:r>
        <w:rPr>
          <w:rStyle w:val="FootnoteCharacters"/>
          <w:rStyle w:val="FootnoteReference"/>
        </w:rPr>
        <w:footnoteReference w:id="8"/>
      </w:r>
    </w:p>
    <w:p>
      <w:pPr>
        <w:pStyle w:val="Normal"/>
        <w:widowControl/>
        <w:ind w:firstLine="720" w:start="720" w:end="720"/>
        <w:rPr>
          <w:sz w:val="24"/>
          <w:szCs w:val="24"/>
        </w:rPr>
      </w:pPr>
      <w:r>
        <w:rPr>
          <w:sz w:val="24"/>
          <w:szCs w:val="24"/>
        </w:rPr>
      </w:r>
    </w:p>
    <w:p>
      <w:pPr>
        <w:pStyle w:val="Normal"/>
        <w:widowControl/>
        <w:spacing w:lineRule="auto" w:line="480"/>
        <w:ind w:firstLine="720" w:end="0"/>
        <w:rPr/>
      </w:pPr>
      <w:r>
        <w:rPr>
          <w:sz w:val="24"/>
          <w:szCs w:val="24"/>
        </w:rPr>
        <w:t>Pursuant to Section 367 and numerous Commission decisions implementing Section 367,</w:t>
      </w:r>
      <w:r>
        <w:rPr>
          <w:rStyle w:val="FootnoteCharacters"/>
          <w:rStyle w:val="FootnoteReference"/>
        </w:rPr>
        <w:footnoteReference w:id="9"/>
      </w:r>
      <w:r>
        <w:rPr>
          <w:sz w:val="24"/>
          <w:szCs w:val="24"/>
        </w:rPr>
        <w:t xml:space="preserve"> PG&amp;E has submitted market valuation proposals for its remaining non-nuclear generation assets in this docket and other dockets.  The December 31, 2001 statutory deadline for completing market valuations under Section 367 is fast approaching.  Effective January 1, 2002, PG&amp;E’s non-nuclear retained generation must be reflected in utility rates on the same basis as the market value determined for purposes of AB 1890 stranded cost computations.  The market valuations adopted by the Commission will thus need to be included in the Commission’s consideration of utility retained generation ratemaking in this proceeding.  Those valuations are also essential prerequisites to the determination of any amounts which might be made available under the current rate structure for payment to the California Department of Water Resources as provided for in AB1X.  Failure to properly assess the level of revenues legally required to be authorized for utility retained generation could result in an incomplete and inaccurate determination of the revenues which might be available under the current rate structure to the DWR in 2002 and beyond.  For these reasons, the Commission should grant this </w:t>
      </w:r>
      <w:r>
        <w:br w:type="page"/>
      </w:r>
    </w:p>
    <w:p>
      <w:pPr>
        <w:pStyle w:val="Normal"/>
        <w:widowControl/>
        <w:spacing w:lineRule="auto" w:line="480"/>
        <w:ind w:end="0"/>
        <w:rPr>
          <w:sz w:val="24"/>
          <w:szCs w:val="24"/>
        </w:rPr>
      </w:pPr>
      <w:r>
        <w:rPr>
          <w:sz w:val="24"/>
          <w:szCs w:val="24"/>
        </w:rPr>
        <w:t>Motion and complete the market valuation of PG&amp;E’s assets so that the rate freeze end date can be determined and the approved market value of the assets can be used for ratemaking both for 2001 and for the post freeze period which will in any event apply beginning in 2002 and beyond.</w:t>
      </w:r>
    </w:p>
    <w:p>
      <w:pPr>
        <w:pStyle w:val="Heading1"/>
        <w:spacing w:before="120" w:after="120"/>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III.</w:t>
        <w:tab/>
        <w:t>CONCLUSION</w:t>
      </w:r>
    </w:p>
    <w:p>
      <w:pPr>
        <w:pStyle w:val="Normal"/>
        <w:spacing w:lineRule="auto" w:line="480"/>
        <w:rPr>
          <w:sz w:val="24"/>
          <w:szCs w:val="24"/>
        </w:rPr>
      </w:pPr>
      <w:r>
        <w:rPr>
          <w:sz w:val="24"/>
          <w:szCs w:val="24"/>
        </w:rPr>
        <w:tab/>
        <w:t>For the reasons stated above, PG&amp;E requests that the Commission by no later than July 19, 2001, grant this Motion and (1) consolidate the record from PG&amp;E’s pending generation asset market valuation applications with this proceeding; (2) issue a decision determining the market valuation of PG&amp;E’s retained generating assets as required by Public Utilities Code Section 367(b); and (3) order that the market value so determined be used for the purposes of determining PG&amp;E retained generation revenue requirement as proposed by PG&amp;E in this proceeding.</w:t>
      </w:r>
    </w:p>
    <w:p>
      <w:pPr>
        <w:pStyle w:val="Normal"/>
        <w:widowControl/>
        <w:spacing w:lineRule="auto" w:line="480"/>
        <w:ind w:firstLine="720" w:start="2880" w:end="0"/>
        <w:rPr>
          <w:sz w:val="24"/>
          <w:szCs w:val="24"/>
        </w:rPr>
      </w:pPr>
      <w:r>
        <w:rPr>
          <w:sz w:val="24"/>
          <w:szCs w:val="24"/>
        </w:rPr>
        <w:t>Respectfully submitted,</w:t>
      </w:r>
    </w:p>
    <w:p>
      <w:pPr>
        <w:pStyle w:val="Normal"/>
        <w:widowControl/>
        <w:ind w:firstLine="720" w:start="2880" w:end="0"/>
        <w:rPr>
          <w:sz w:val="24"/>
          <w:szCs w:val="24"/>
        </w:rPr>
      </w:pPr>
      <w:r>
        <w:rPr>
          <w:sz w:val="24"/>
          <w:szCs w:val="24"/>
        </w:rPr>
        <w:t>ROGER J. PETERS</w:t>
      </w:r>
    </w:p>
    <w:p>
      <w:pPr>
        <w:pStyle w:val="Normal"/>
        <w:widowControl/>
        <w:ind w:firstLine="720" w:start="2880" w:end="0"/>
        <w:rPr>
          <w:sz w:val="24"/>
          <w:szCs w:val="24"/>
        </w:rPr>
      </w:pPr>
      <w:r>
        <w:rPr>
          <w:sz w:val="24"/>
          <w:szCs w:val="24"/>
        </w:rPr>
        <w:t>CHRISTOPHER J. WARNER</w:t>
      </w:r>
    </w:p>
    <w:p>
      <w:pPr>
        <w:pStyle w:val="Normal"/>
        <w:widowControl/>
        <w:ind w:firstLine="720" w:start="2880" w:end="0"/>
        <w:rPr>
          <w:sz w:val="24"/>
          <w:szCs w:val="24"/>
        </w:rPr>
      </w:pPr>
      <w:r>
        <w:rPr>
          <w:sz w:val="24"/>
          <w:szCs w:val="24"/>
        </w:rPr>
        <w:t>WILLIAM V. MANHEIM</w:t>
      </w:r>
    </w:p>
    <w:p>
      <w:pPr>
        <w:pStyle w:val="Normal"/>
        <w:widowControl/>
        <w:ind w:firstLine="720" w:start="2880" w:end="0"/>
        <w:rPr>
          <w:sz w:val="24"/>
          <w:szCs w:val="24"/>
        </w:rPr>
      </w:pPr>
      <w:r>
        <w:rPr>
          <w:sz w:val="24"/>
          <w:szCs w:val="24"/>
        </w:rPr>
        <w:t>MARK R. HUFFMAN</w:t>
      </w:r>
    </w:p>
    <w:p>
      <w:pPr>
        <w:pStyle w:val="Normal"/>
        <w:widowControl/>
        <w:ind w:firstLine="720" w:start="2880" w:end="0"/>
        <w:rPr>
          <w:sz w:val="24"/>
          <w:szCs w:val="24"/>
        </w:rPr>
      </w:pPr>
      <w:r>
        <w:rPr>
          <w:sz w:val="24"/>
          <w:szCs w:val="24"/>
        </w:rPr>
      </w:r>
    </w:p>
    <w:p>
      <w:pPr>
        <w:pStyle w:val="Normal"/>
        <w:widowControl/>
        <w:ind w:firstLine="720" w:start="2880" w:end="0"/>
        <w:rPr>
          <w:sz w:val="24"/>
          <w:szCs w:val="24"/>
        </w:rPr>
      </w:pPr>
      <w:r>
        <w:rPr>
          <w:sz w:val="24"/>
          <w:szCs w:val="24"/>
        </w:rPr>
      </w:r>
    </w:p>
    <w:p>
      <w:pPr>
        <w:pStyle w:val="Normal"/>
        <w:widowControl/>
        <w:spacing w:lineRule="exact" w:line="240"/>
        <w:rPr>
          <w:sz w:val="24"/>
          <w:szCs w:val="24"/>
        </w:rPr>
      </w:pPr>
      <w:r>
        <w:rPr>
          <w:sz w:val="24"/>
          <w:szCs w:val="24"/>
        </w:rPr>
        <w:tab/>
        <w:tab/>
        <w:tab/>
        <w:tab/>
        <w:tab/>
        <w:t>By:  __________________________</w:t>
      </w:r>
    </w:p>
    <w:p>
      <w:pPr>
        <w:pStyle w:val="Normal"/>
        <w:widowControl/>
        <w:spacing w:lineRule="exact" w:line="240"/>
        <w:rPr>
          <w:sz w:val="24"/>
          <w:szCs w:val="24"/>
        </w:rPr>
      </w:pPr>
      <w:r>
        <w:rPr>
          <w:sz w:val="24"/>
          <w:szCs w:val="24"/>
        </w:rPr>
        <w:tab/>
        <w:tab/>
        <w:tab/>
        <w:tab/>
        <w:tab/>
        <w:tab/>
        <w:t>CHRISTOPHER J. WARNER</w:t>
      </w:r>
    </w:p>
    <w:p>
      <w:pPr>
        <w:pStyle w:val="Normal"/>
        <w:widowControl/>
        <w:spacing w:lineRule="exact" w:line="240"/>
        <w:rPr>
          <w:sz w:val="24"/>
          <w:szCs w:val="24"/>
        </w:rPr>
      </w:pPr>
      <w:r>
        <w:rPr>
          <w:sz w:val="24"/>
          <w:szCs w:val="24"/>
        </w:rPr>
        <w:tab/>
        <w:tab/>
        <w:tab/>
        <w:tab/>
        <w:tab/>
      </w:r>
    </w:p>
    <w:p>
      <w:pPr>
        <w:pStyle w:val="Normal"/>
        <w:widowControl/>
        <w:spacing w:lineRule="exact" w:line="240"/>
        <w:rPr>
          <w:sz w:val="24"/>
          <w:szCs w:val="24"/>
        </w:rPr>
      </w:pPr>
      <w:r>
        <w:rPr>
          <w:sz w:val="24"/>
          <w:szCs w:val="24"/>
        </w:rPr>
        <w:tab/>
        <w:tab/>
        <w:tab/>
        <w:tab/>
        <w:tab/>
        <w:t>Law Department, B30A</w:t>
      </w:r>
    </w:p>
    <w:p>
      <w:pPr>
        <w:pStyle w:val="Normal"/>
        <w:widowControl/>
        <w:spacing w:lineRule="exact" w:line="240"/>
        <w:rPr>
          <w:sz w:val="24"/>
          <w:szCs w:val="24"/>
        </w:rPr>
      </w:pPr>
      <w:r>
        <w:rPr>
          <w:sz w:val="24"/>
          <w:szCs w:val="24"/>
        </w:rPr>
        <w:tab/>
        <w:tab/>
        <w:tab/>
        <w:tab/>
        <w:tab/>
        <w:t>Post Office Box 7442</w:t>
      </w:r>
    </w:p>
    <w:p>
      <w:pPr>
        <w:pStyle w:val="Normal"/>
        <w:widowControl/>
        <w:spacing w:lineRule="exact" w:line="240"/>
        <w:rPr>
          <w:sz w:val="24"/>
          <w:szCs w:val="24"/>
        </w:rPr>
      </w:pPr>
      <w:r>
        <w:rPr>
          <w:sz w:val="24"/>
          <w:szCs w:val="24"/>
        </w:rPr>
        <w:tab/>
        <w:tab/>
        <w:tab/>
        <w:tab/>
        <w:tab/>
        <w:t>San Francisco, CA 94120</w:t>
      </w:r>
    </w:p>
    <w:p>
      <w:pPr>
        <w:pStyle w:val="Normal"/>
        <w:widowControl/>
        <w:spacing w:lineRule="exact" w:line="240"/>
        <w:rPr>
          <w:sz w:val="24"/>
          <w:szCs w:val="24"/>
        </w:rPr>
      </w:pPr>
      <w:r>
        <w:rPr>
          <w:sz w:val="24"/>
          <w:szCs w:val="24"/>
        </w:rPr>
        <w:tab/>
        <w:tab/>
        <w:tab/>
        <w:tab/>
        <w:tab/>
        <w:t>Telephone: (415) 973-6695</w:t>
      </w:r>
    </w:p>
    <w:p>
      <w:pPr>
        <w:pStyle w:val="Normal"/>
        <w:widowControl/>
        <w:spacing w:lineRule="exact" w:line="240"/>
        <w:rPr>
          <w:sz w:val="24"/>
          <w:szCs w:val="24"/>
        </w:rPr>
      </w:pPr>
      <w:r>
        <w:rPr>
          <w:sz w:val="24"/>
          <w:szCs w:val="24"/>
        </w:rPr>
        <w:tab/>
        <w:tab/>
        <w:tab/>
        <w:tab/>
        <w:tab/>
        <w:t>Fax:  (415) 973-5220</w:t>
      </w:r>
    </w:p>
    <w:p>
      <w:pPr>
        <w:pStyle w:val="Normal"/>
        <w:widowControl/>
        <w:spacing w:lineRule="exact" w:line="240"/>
        <w:rPr>
          <w:sz w:val="24"/>
          <w:szCs w:val="24"/>
        </w:rPr>
      </w:pPr>
      <w:r>
        <w:rPr>
          <w:sz w:val="24"/>
          <w:szCs w:val="24"/>
        </w:rPr>
        <w:tab/>
        <w:tab/>
        <w:tab/>
        <w:tab/>
        <w:tab/>
        <w:t>E-mail: CJW5@pge.com</w:t>
      </w:r>
    </w:p>
    <w:p>
      <w:pPr>
        <w:pStyle w:val="Normal"/>
        <w:widowControl/>
        <w:spacing w:lineRule="exact" w:line="240"/>
        <w:rPr>
          <w:sz w:val="24"/>
          <w:szCs w:val="24"/>
        </w:rPr>
      </w:pPr>
      <w:r>
        <w:rPr>
          <w:sz w:val="24"/>
          <w:szCs w:val="24"/>
        </w:rPr>
        <w:tab/>
        <w:tab/>
        <w:tab/>
        <w:tab/>
        <w:tab/>
        <w:t>Attorneys for</w:t>
      </w:r>
    </w:p>
    <w:p>
      <w:pPr>
        <w:pStyle w:val="Normal"/>
        <w:widowControl/>
        <w:spacing w:lineRule="exact" w:line="240"/>
        <w:rPr>
          <w:sz w:val="24"/>
          <w:szCs w:val="24"/>
        </w:rPr>
      </w:pPr>
      <w:r>
        <w:rPr>
          <w:sz w:val="24"/>
          <w:szCs w:val="24"/>
        </w:rPr>
        <w:tab/>
        <w:tab/>
        <w:tab/>
        <w:tab/>
        <w:tab/>
        <w:t>PACIFIC GAS AND ELECTRIC COMPANY</w:t>
      </w:r>
    </w:p>
    <w:p>
      <w:pPr>
        <w:pStyle w:val="Normal"/>
        <w:widowControl/>
        <w:spacing w:lineRule="auto" w:line="480"/>
        <w:rPr>
          <w:sz w:val="24"/>
          <w:szCs w:val="24"/>
        </w:rPr>
      </w:pPr>
      <w:r>
        <w:rPr>
          <w:sz w:val="24"/>
          <w:szCs w:val="24"/>
        </w:rPr>
      </w:r>
    </w:p>
    <w:p>
      <w:pPr>
        <w:pStyle w:val="Normal"/>
        <w:tabs>
          <w:tab w:val="clear" w:pos="720"/>
          <w:tab w:val="center" w:pos="4536" w:leader="none"/>
        </w:tabs>
        <w:suppressAutoHyphens w:val="true"/>
        <w:spacing w:lineRule="exact" w:line="240" w:before="200" w:after="0"/>
        <w:jc w:val="center"/>
        <w:rPr>
          <w:sz w:val="24"/>
          <w:szCs w:val="24"/>
        </w:rPr>
      </w:pPr>
      <w:r>
        <w:rPr>
          <w:sz w:val="24"/>
          <w:szCs w:val="24"/>
        </w:rPr>
        <w:t>July 3, 2001</w:t>
      </w:r>
      <w:r>
        <w:br w:type="page"/>
      </w:r>
    </w:p>
    <w:p>
      <w:pPr>
        <w:pStyle w:val="Normal"/>
        <w:tabs>
          <w:tab w:val="clear" w:pos="720"/>
          <w:tab w:val="center" w:pos="4536" w:leader="none"/>
        </w:tabs>
        <w:suppressAutoHyphens w:val="true"/>
        <w:spacing w:lineRule="exact" w:line="240" w:before="200" w:after="0"/>
        <w:jc w:val="center"/>
        <w:rPr/>
      </w:pPr>
      <w:bookmarkStart w:id="1" w:name="POSCPUCMail"/>
      <w:bookmarkEnd w:id="1"/>
      <w:r>
        <w:rPr>
          <w:spacing w:val="-2"/>
          <w:sz w:val="24"/>
          <w:szCs w:val="24"/>
          <w:u w:val="single"/>
        </w:rPr>
        <w:t>CERTIFICATE OF SERVICE</w:t>
      </w:r>
      <w:r>
        <w:rPr>
          <w:sz w:val="24"/>
          <w:szCs w:val="24"/>
          <w:u w:val="single"/>
        </w:rPr>
        <w:t xml:space="preserve"> BY MAIL</w:t>
      </w:r>
    </w:p>
    <w:p>
      <w:pPr>
        <w:pStyle w:val="Normal"/>
        <w:tabs>
          <w:tab w:val="clear" w:pos="720"/>
          <w:tab w:val="left" w:pos="-720" w:leader="none"/>
        </w:tabs>
        <w:suppressAutoHyphens w:val="true"/>
        <w:spacing w:lineRule="exact" w:line="240"/>
        <w:jc w:val="center"/>
        <w:rPr>
          <w:sz w:val="24"/>
          <w:szCs w:val="24"/>
          <w:u w:val="single"/>
        </w:rPr>
      </w:pPr>
      <w:r>
        <w:rPr>
          <w:sz w:val="24"/>
          <w:szCs w:val="24"/>
          <w:u w:val="single"/>
        </w:rPr>
      </w:r>
    </w:p>
    <w:p>
      <w:pPr>
        <w:pStyle w:val="Normal"/>
        <w:tabs>
          <w:tab w:val="clear" w:pos="720"/>
          <w:tab w:val="left" w:pos="-720" w:leader="none"/>
        </w:tabs>
        <w:suppressAutoHyphens w:val="true"/>
        <w:spacing w:lineRule="exact" w:line="240"/>
        <w:rPr>
          <w:sz w:val="24"/>
          <w:szCs w:val="24"/>
        </w:rPr>
      </w:pPr>
      <w:r>
        <w:rPr>
          <w:sz w:val="24"/>
          <w:szCs w:val="24"/>
        </w:rPr>
        <w:tab/>
        <w:tab/>
        <w:t>I, the undersigned, state that I am a citizen of the United States and am employed in the City and County of San Francisco; that I am over the age of eighteen (18) years and not a party to the within cause; and that my business address is Pacific Gas and Electric Company, Law Department B30A, 77 Beale Street, San Francisco, California 94105.</w:t>
      </w:r>
    </w:p>
    <w:p>
      <w:pPr>
        <w:pStyle w:val="Normal"/>
        <w:tabs>
          <w:tab w:val="clear" w:pos="720"/>
          <w:tab w:val="left" w:pos="-720" w:leader="none"/>
        </w:tabs>
        <w:suppressAutoHyphens w:val="true"/>
        <w:spacing w:lineRule="exact" w:line="240"/>
        <w:rPr>
          <w:sz w:val="24"/>
          <w:szCs w:val="24"/>
        </w:rPr>
      </w:pPr>
      <w:r>
        <w:rPr>
          <w:sz w:val="24"/>
          <w:szCs w:val="24"/>
        </w:rPr>
      </w:r>
    </w:p>
    <w:p>
      <w:pPr>
        <w:pStyle w:val="Normal"/>
        <w:tabs>
          <w:tab w:val="clear" w:pos="720"/>
          <w:tab w:val="left" w:pos="-720" w:leader="none"/>
        </w:tabs>
        <w:suppressAutoHyphens w:val="true"/>
        <w:spacing w:lineRule="exact" w:line="240"/>
        <w:rPr>
          <w:sz w:val="24"/>
          <w:szCs w:val="24"/>
        </w:rPr>
      </w:pPr>
      <w:r>
        <w:rPr>
          <w:sz w:val="24"/>
          <w:szCs w:val="24"/>
        </w:rPr>
        <w:tab/>
        <w:tab/>
        <w:t xml:space="preserve"> I am readily familiar with the business practice of Pacific Gas and Electric Company for collection and processing of correspondence for mailing with the United States Postal Service.  In the ordinary course of business, correspondence is deposited with the United States Postal Service the same day it is submitted for mailing.</w:t>
      </w:r>
    </w:p>
    <w:p>
      <w:pPr>
        <w:pStyle w:val="Normal"/>
        <w:tabs>
          <w:tab w:val="clear" w:pos="720"/>
          <w:tab w:val="left" w:pos="-720" w:leader="none"/>
        </w:tabs>
        <w:suppressAutoHyphens w:val="true"/>
        <w:spacing w:lineRule="exact" w:line="240"/>
        <w:rPr>
          <w:sz w:val="24"/>
          <w:szCs w:val="24"/>
        </w:rPr>
      </w:pPr>
      <w:r>
        <w:rPr>
          <w:sz w:val="24"/>
          <w:szCs w:val="24"/>
        </w:rPr>
        <w:tab/>
        <w:tab/>
      </w:r>
    </w:p>
    <w:p>
      <w:pPr>
        <w:pStyle w:val="Normal"/>
        <w:tabs>
          <w:tab w:val="clear" w:pos="720"/>
          <w:tab w:val="left" w:pos="-720" w:leader="none"/>
        </w:tabs>
        <w:suppressAutoHyphens w:val="true"/>
        <w:spacing w:lineRule="exact" w:line="240"/>
        <w:rPr>
          <w:sz w:val="24"/>
          <w:szCs w:val="24"/>
        </w:rPr>
      </w:pPr>
      <w:r>
        <w:rPr>
          <w:sz w:val="24"/>
          <w:szCs w:val="24"/>
        </w:rPr>
        <w:tab/>
        <w:tab/>
        <w:t>On the 3rd day of July, 2001, I served a true copy of:</w:t>
      </w:r>
    </w:p>
    <w:p>
      <w:pPr>
        <w:pStyle w:val="Normal"/>
        <w:tabs>
          <w:tab w:val="clear" w:pos="720"/>
          <w:tab w:val="left" w:pos="-720" w:leader="none"/>
        </w:tabs>
        <w:suppressAutoHyphens w:val="true"/>
        <w:spacing w:lineRule="exact" w:line="240"/>
        <w:rPr>
          <w:sz w:val="24"/>
          <w:szCs w:val="24"/>
        </w:rPr>
      </w:pPr>
      <w:r>
        <w:rPr>
          <w:sz w:val="24"/>
          <w:szCs w:val="24"/>
        </w:rPr>
      </w:r>
    </w:p>
    <w:p>
      <w:pPr>
        <w:pStyle w:val="Normal"/>
        <w:tabs>
          <w:tab w:val="clear" w:pos="720"/>
          <w:tab w:val="center" w:pos="4536" w:leader="none"/>
        </w:tabs>
        <w:suppressAutoHyphens w:val="true"/>
        <w:spacing w:lineRule="exact" w:line="240"/>
        <w:jc w:val="center"/>
        <w:rPr>
          <w:b/>
          <w:bCs/>
          <w:sz w:val="24"/>
          <w:szCs w:val="24"/>
        </w:rPr>
      </w:pPr>
      <w:r>
        <w:rPr>
          <w:b/>
          <w:bCs/>
          <w:sz w:val="24"/>
          <w:szCs w:val="24"/>
        </w:rPr>
        <w:t>MOTION OF PACIFIC GAS AND ELECTRIC COMPANY</w:t>
      </w:r>
    </w:p>
    <w:p>
      <w:pPr>
        <w:pStyle w:val="Normal"/>
        <w:tabs>
          <w:tab w:val="clear" w:pos="720"/>
          <w:tab w:val="center" w:pos="4536" w:leader="none"/>
        </w:tabs>
        <w:suppressAutoHyphens w:val="true"/>
        <w:spacing w:lineRule="exact" w:line="240"/>
        <w:jc w:val="center"/>
        <w:rPr>
          <w:b/>
          <w:bCs/>
          <w:sz w:val="24"/>
          <w:szCs w:val="24"/>
        </w:rPr>
      </w:pPr>
      <w:r>
        <w:rPr>
          <w:b/>
          <w:bCs/>
          <w:sz w:val="24"/>
          <w:szCs w:val="24"/>
        </w:rPr>
        <w:t xml:space="preserve">TO ESTABLISH FINAL MARKET VALUATION OF NON-NUCLEAR </w:t>
      </w:r>
    </w:p>
    <w:p>
      <w:pPr>
        <w:pStyle w:val="Normal"/>
        <w:tabs>
          <w:tab w:val="clear" w:pos="720"/>
          <w:tab w:val="center" w:pos="4536" w:leader="none"/>
        </w:tabs>
        <w:suppressAutoHyphens w:val="true"/>
        <w:spacing w:lineRule="exact" w:line="240"/>
        <w:jc w:val="center"/>
        <w:rPr>
          <w:sz w:val="24"/>
          <w:szCs w:val="24"/>
        </w:rPr>
      </w:pPr>
      <w:r>
        <w:rPr>
          <w:b/>
          <w:bCs/>
          <w:sz w:val="24"/>
          <w:szCs w:val="24"/>
        </w:rPr>
        <w:t>GENERATING ASSETS PURSUANT TO PUBLIC UTILITIES CODE SECTION 367</w:t>
      </w:r>
    </w:p>
    <w:p>
      <w:pPr>
        <w:pStyle w:val="Normal"/>
        <w:tabs>
          <w:tab w:val="clear" w:pos="720"/>
          <w:tab w:val="center" w:pos="4536" w:leader="none"/>
        </w:tabs>
        <w:suppressAutoHyphens w:val="true"/>
        <w:spacing w:lineRule="exact" w:line="240"/>
        <w:jc w:val="center"/>
        <w:rPr>
          <w:sz w:val="24"/>
          <w:szCs w:val="24"/>
        </w:rPr>
      </w:pPr>
      <w:r>
        <w:rPr>
          <w:sz w:val="24"/>
          <w:szCs w:val="24"/>
        </w:rPr>
      </w:r>
    </w:p>
    <w:p>
      <w:pPr>
        <w:pStyle w:val="Normal"/>
        <w:tabs>
          <w:tab w:val="clear" w:pos="720"/>
          <w:tab w:val="left" w:pos="-720" w:leader="none"/>
        </w:tabs>
        <w:suppressAutoHyphens w:val="true"/>
        <w:spacing w:lineRule="exact" w:line="240"/>
        <w:rPr>
          <w:sz w:val="24"/>
          <w:szCs w:val="24"/>
        </w:rPr>
      </w:pPr>
      <w:r>
        <w:rPr>
          <w:sz w:val="24"/>
          <w:szCs w:val="24"/>
        </w:rPr>
        <w:t>by placing it for collection and mailing, in the course of ordinary business practice, with other correspondence of Pacific Gas and Electric Company, enclosed in a sealed envelope, with postage fully prepaid, addressed to:</w:t>
      </w:r>
    </w:p>
    <w:p>
      <w:pPr>
        <w:pStyle w:val="Normal"/>
        <w:tabs>
          <w:tab w:val="clear" w:pos="720"/>
          <w:tab w:val="left" w:pos="-720" w:leader="none"/>
        </w:tabs>
        <w:suppressAutoHyphens w:val="true"/>
        <w:spacing w:lineRule="exact" w:line="240"/>
        <w:rPr>
          <w:sz w:val="24"/>
          <w:szCs w:val="24"/>
        </w:rPr>
      </w:pPr>
      <w:r>
        <w:rPr>
          <w:sz w:val="24"/>
          <w:szCs w:val="24"/>
        </w:rPr>
      </w:r>
    </w:p>
    <w:tbl>
      <w:tblPr>
        <w:tblW w:w="9202" w:type="dxa"/>
        <w:jc w:val="start"/>
        <w:tblInd w:w="0" w:type="dxa"/>
        <w:tblLayout w:type="fixed"/>
        <w:tblCellMar>
          <w:top w:w="0" w:type="dxa"/>
          <w:start w:w="108" w:type="dxa"/>
          <w:bottom w:w="0" w:type="dxa"/>
          <w:end w:w="108" w:type="dxa"/>
        </w:tblCellMar>
      </w:tblPr>
      <w:tblGrid>
        <w:gridCol w:w="6318"/>
        <w:gridCol w:w="2884"/>
      </w:tblGrid>
      <w:tr>
        <w:trPr/>
        <w:tc>
          <w:tcPr>
            <w:tcW w:w="6318" w:type="dxa"/>
            <w:tcBorders>
              <w:top w:val="dashed" w:sz="6" w:space="0" w:color="auto"/>
              <w:start w:val="dashed" w:sz="6" w:space="0" w:color="auto"/>
              <w:bottom w:val="dashed" w:sz="6" w:space="0" w:color="auto"/>
              <w:end w:val="dashed" w:sz="6" w:space="0" w:color="auto"/>
            </w:tcBorders>
          </w:tcPr>
          <w:p>
            <w:pPr>
              <w:pStyle w:val="Normal"/>
              <w:suppressAutoHyphens w:val="true"/>
              <w:spacing w:lineRule="exact" w:line="240"/>
              <w:rPr>
                <w:sz w:val="24"/>
                <w:szCs w:val="24"/>
              </w:rPr>
            </w:pPr>
            <w:r>
              <w:rPr>
                <w:sz w:val="24"/>
                <w:szCs w:val="24"/>
              </w:rPr>
              <w:t>Service List.  A.00-11-038, A. 00-11-056, A. 00-10-028</w:t>
            </w:r>
          </w:p>
        </w:tc>
        <w:tc>
          <w:tcPr>
            <w:tcW w:w="2884" w:type="dxa"/>
            <w:tcBorders>
              <w:top w:val="dashed" w:sz="6" w:space="0" w:color="auto"/>
              <w:start w:val="dashed" w:sz="6" w:space="0" w:color="auto"/>
              <w:bottom w:val="dashed" w:sz="6" w:space="0" w:color="auto"/>
              <w:end w:val="dashed" w:sz="6" w:space="0" w:color="auto"/>
            </w:tcBorders>
          </w:tcPr>
          <w:p>
            <w:pPr>
              <w:pStyle w:val="Normal"/>
              <w:suppressAutoHyphens w:val="true"/>
              <w:snapToGrid w:val="false"/>
              <w:spacing w:lineRule="exact" w:line="240"/>
              <w:rPr>
                <w:sz w:val="24"/>
                <w:szCs w:val="24"/>
              </w:rPr>
            </w:pPr>
            <w:r>
              <w:rPr>
                <w:sz w:val="24"/>
                <w:szCs w:val="24"/>
              </w:rPr>
            </w:r>
          </w:p>
        </w:tc>
      </w:tr>
      <w:tr>
        <w:trPr/>
        <w:tc>
          <w:tcPr>
            <w:tcW w:w="6318" w:type="dxa"/>
            <w:tcBorders>
              <w:top w:val="dashed" w:sz="6" w:space="0" w:color="auto"/>
              <w:start w:val="dashed" w:sz="6" w:space="0" w:color="auto"/>
              <w:bottom w:val="dashed" w:sz="6" w:space="0" w:color="auto"/>
              <w:end w:val="dashed" w:sz="6" w:space="0" w:color="auto"/>
            </w:tcBorders>
          </w:tcPr>
          <w:p>
            <w:pPr>
              <w:pStyle w:val="Normal"/>
              <w:suppressAutoHyphens w:val="true"/>
              <w:snapToGrid w:val="false"/>
              <w:spacing w:lineRule="exact" w:line="240"/>
              <w:rPr>
                <w:sz w:val="24"/>
                <w:szCs w:val="24"/>
              </w:rPr>
            </w:pPr>
            <w:r>
              <w:rPr>
                <w:sz w:val="24"/>
                <w:szCs w:val="24"/>
              </w:rPr>
            </w:r>
          </w:p>
          <w:p>
            <w:pPr>
              <w:pStyle w:val="Normal"/>
              <w:suppressAutoHyphens w:val="true"/>
              <w:spacing w:lineRule="exact" w:line="240"/>
              <w:rPr>
                <w:sz w:val="24"/>
                <w:szCs w:val="24"/>
              </w:rPr>
            </w:pPr>
            <w:r>
              <w:rPr>
                <w:sz w:val="24"/>
                <w:szCs w:val="24"/>
              </w:rPr>
            </w:r>
          </w:p>
        </w:tc>
        <w:tc>
          <w:tcPr>
            <w:tcW w:w="2884" w:type="dxa"/>
            <w:tcBorders>
              <w:top w:val="dashed" w:sz="6" w:space="0" w:color="auto"/>
              <w:start w:val="dashed" w:sz="6" w:space="0" w:color="auto"/>
              <w:bottom w:val="dashed" w:sz="6" w:space="0" w:color="auto"/>
              <w:end w:val="dashed" w:sz="6" w:space="0" w:color="auto"/>
            </w:tcBorders>
          </w:tcPr>
          <w:p>
            <w:pPr>
              <w:pStyle w:val="Normal"/>
              <w:suppressAutoHyphens w:val="true"/>
              <w:snapToGrid w:val="false"/>
              <w:spacing w:lineRule="exact" w:line="240"/>
              <w:rPr>
                <w:sz w:val="24"/>
                <w:szCs w:val="24"/>
              </w:rPr>
            </w:pPr>
            <w:r>
              <w:rPr>
                <w:sz w:val="24"/>
                <w:szCs w:val="24"/>
              </w:rPr>
            </w:r>
          </w:p>
          <w:p>
            <w:pPr>
              <w:pStyle w:val="Normal"/>
              <w:suppressAutoHyphens w:val="true"/>
              <w:spacing w:lineRule="exact" w:line="240"/>
              <w:rPr>
                <w:sz w:val="24"/>
                <w:szCs w:val="24"/>
              </w:rPr>
            </w:pPr>
            <w:r>
              <w:rPr>
                <w:sz w:val="24"/>
                <w:szCs w:val="24"/>
              </w:rPr>
            </w:r>
          </w:p>
        </w:tc>
      </w:tr>
    </w:tbl>
    <w:p>
      <w:pPr>
        <w:pStyle w:val="Normal"/>
        <w:tabs>
          <w:tab w:val="clear" w:pos="720"/>
          <w:tab w:val="left" w:pos="-720" w:leader="none"/>
        </w:tabs>
        <w:suppressAutoHyphens w:val="true"/>
        <w:spacing w:lineRule="exact" w:line="240"/>
        <w:rPr>
          <w:sz w:val="24"/>
          <w:szCs w:val="24"/>
        </w:rPr>
      </w:pPr>
      <w:r>
        <w:rPr>
          <w:sz w:val="24"/>
          <w:szCs w:val="24"/>
        </w:rPr>
      </w:r>
    </w:p>
    <w:p>
      <w:pPr>
        <w:pStyle w:val="Normal"/>
        <w:tabs>
          <w:tab w:val="clear" w:pos="720"/>
          <w:tab w:val="left" w:pos="-720" w:leader="none"/>
        </w:tabs>
        <w:suppressAutoHyphens w:val="true"/>
        <w:spacing w:lineRule="exact" w:line="240"/>
        <w:rPr>
          <w:sz w:val="24"/>
          <w:szCs w:val="24"/>
        </w:rPr>
      </w:pPr>
      <w:r>
        <w:rPr>
          <w:sz w:val="24"/>
          <w:szCs w:val="24"/>
        </w:rPr>
      </w:r>
    </w:p>
    <w:p>
      <w:pPr>
        <w:pStyle w:val="Normal"/>
        <w:tabs>
          <w:tab w:val="clear" w:pos="720"/>
          <w:tab w:val="left" w:pos="-720" w:leader="none"/>
        </w:tabs>
        <w:suppressAutoHyphens w:val="true"/>
        <w:spacing w:lineRule="exact" w:line="240"/>
        <w:rPr>
          <w:sz w:val="24"/>
          <w:szCs w:val="24"/>
        </w:rPr>
      </w:pPr>
      <w:r>
        <w:rPr>
          <w:sz w:val="24"/>
          <w:szCs w:val="24"/>
        </w:rPr>
        <w:tab/>
        <w:tab/>
        <w:t xml:space="preserve">I certify and declare under penalty of perjury under the laws of the State of California that the foregoing is true and correct. </w:t>
      </w:r>
    </w:p>
    <w:p>
      <w:pPr>
        <w:pStyle w:val="Normal"/>
        <w:tabs>
          <w:tab w:val="clear" w:pos="720"/>
          <w:tab w:val="left" w:pos="-720" w:leader="none"/>
        </w:tabs>
        <w:suppressAutoHyphens w:val="true"/>
        <w:spacing w:lineRule="exact" w:line="240"/>
        <w:rPr>
          <w:sz w:val="24"/>
          <w:szCs w:val="24"/>
        </w:rPr>
      </w:pPr>
      <w:r>
        <w:rPr>
          <w:sz w:val="24"/>
          <w:szCs w:val="24"/>
        </w:rPr>
      </w:r>
    </w:p>
    <w:p>
      <w:pPr>
        <w:pStyle w:val="Normal"/>
        <w:tabs>
          <w:tab w:val="clear" w:pos="720"/>
          <w:tab w:val="left" w:pos="-720" w:leader="none"/>
        </w:tabs>
        <w:suppressAutoHyphens w:val="true"/>
        <w:spacing w:lineRule="exact" w:line="240"/>
        <w:rPr>
          <w:sz w:val="24"/>
          <w:szCs w:val="24"/>
        </w:rPr>
      </w:pPr>
      <w:r>
        <w:rPr>
          <w:sz w:val="24"/>
          <w:szCs w:val="24"/>
        </w:rPr>
        <w:tab/>
        <w:tab/>
        <w:t>Executed on the 3rd day of July, 2001.</w:t>
      </w:r>
    </w:p>
    <w:p>
      <w:pPr>
        <w:pStyle w:val="Normal"/>
        <w:tabs>
          <w:tab w:val="clear" w:pos="720"/>
          <w:tab w:val="left" w:pos="-720" w:leader="none"/>
        </w:tabs>
        <w:suppressAutoHyphens w:val="true"/>
        <w:spacing w:lineRule="exact" w:line="240"/>
        <w:rPr>
          <w:sz w:val="24"/>
          <w:szCs w:val="24"/>
        </w:rPr>
      </w:pPr>
      <w:r>
        <w:rPr>
          <w:sz w:val="24"/>
          <w:szCs w:val="24"/>
        </w:rPr>
      </w:r>
    </w:p>
    <w:p>
      <w:pPr>
        <w:pStyle w:val="Normal"/>
        <w:tabs>
          <w:tab w:val="clear" w:pos="720"/>
          <w:tab w:val="left" w:pos="-720" w:leader="none"/>
        </w:tabs>
        <w:suppressAutoHyphens w:val="true"/>
        <w:spacing w:lineRule="exact" w:line="240"/>
        <w:rPr>
          <w:sz w:val="24"/>
          <w:szCs w:val="24"/>
        </w:rPr>
      </w:pPr>
      <w:r>
        <w:rPr>
          <w:sz w:val="24"/>
          <w:szCs w:val="24"/>
        </w:rPr>
      </w:r>
    </w:p>
    <w:p>
      <w:pPr>
        <w:pStyle w:val="Normal"/>
        <w:tabs>
          <w:tab w:val="clear" w:pos="720"/>
          <w:tab w:val="left" w:pos="-720" w:leader="none"/>
        </w:tabs>
        <w:suppressAutoHyphens w:val="true"/>
        <w:spacing w:lineRule="exact" w:line="240"/>
        <w:rPr>
          <w:sz w:val="24"/>
          <w:szCs w:val="24"/>
        </w:rPr>
      </w:pPr>
      <w:r>
        <w:rPr>
          <w:sz w:val="24"/>
          <w:szCs w:val="24"/>
        </w:rPr>
      </w:r>
    </w:p>
    <w:p>
      <w:pPr>
        <w:pStyle w:val="Normal"/>
        <w:tabs>
          <w:tab w:val="clear" w:pos="720"/>
          <w:tab w:val="left" w:pos="-720" w:leader="none"/>
        </w:tabs>
        <w:suppressAutoHyphens w:val="true"/>
        <w:spacing w:lineRule="exact" w:line="240"/>
        <w:rPr>
          <w:sz w:val="24"/>
          <w:szCs w:val="24"/>
        </w:rPr>
      </w:pPr>
      <w:r>
        <w:rPr>
          <w:sz w:val="24"/>
          <w:szCs w:val="24"/>
        </w:rPr>
      </w:r>
    </w:p>
    <w:p>
      <w:pPr>
        <w:pStyle w:val="Normal"/>
        <w:pBdr>
          <w:bottom w:val="single" w:sz="6" w:space="1" w:color="000000"/>
        </w:pBdr>
        <w:tabs>
          <w:tab w:val="clear" w:pos="720"/>
          <w:tab w:val="left" w:pos="-720" w:leader="none"/>
        </w:tabs>
        <w:suppressAutoHyphens w:val="true"/>
        <w:spacing w:lineRule="exact" w:line="240"/>
        <w:ind w:start="4410" w:end="1350"/>
        <w:rPr>
          <w:sz w:val="24"/>
          <w:szCs w:val="24"/>
        </w:rPr>
      </w:pPr>
      <w:r>
        <w:rPr>
          <w:sz w:val="24"/>
          <w:szCs w:val="24"/>
        </w:rPr>
      </w:r>
    </w:p>
    <w:p>
      <w:pPr>
        <w:pStyle w:val="Normal"/>
        <w:tabs>
          <w:tab w:val="clear" w:pos="720"/>
          <w:tab w:val="left" w:pos="-720" w:leader="none"/>
          <w:tab w:val="center" w:pos="6480" w:leader="none"/>
        </w:tabs>
        <w:suppressAutoHyphens w:val="true"/>
        <w:spacing w:lineRule="exact" w:line="240"/>
        <w:rPr>
          <w:sz w:val="24"/>
          <w:szCs w:val="24"/>
        </w:rPr>
      </w:pPr>
      <w:r>
        <w:rPr>
          <w:sz w:val="24"/>
          <w:szCs w:val="24"/>
        </w:rPr>
        <w:tab/>
        <w:t>MARTIE L. WAY</w:t>
      </w:r>
    </w:p>
    <w:p>
      <w:pPr>
        <w:pStyle w:val="Normal"/>
        <w:spacing w:lineRule="exact" w:line="240"/>
        <w:rPr>
          <w:sz w:val="24"/>
          <w:szCs w:val="24"/>
        </w:rPr>
      </w:pPr>
      <w:r>
        <w:rPr>
          <w:sz w:val="24"/>
          <w:szCs w:val="24"/>
        </w:rPr>
      </w:r>
      <w:bookmarkStart w:id="2" w:name="POSCPUCMail"/>
      <w:bookmarkStart w:id="3" w:name="POSCPUCMail"/>
      <w:bookmarkEnd w:id="3"/>
    </w:p>
    <w:p>
      <w:pPr>
        <w:pStyle w:val="Normal"/>
        <w:widowControl/>
        <w:spacing w:lineRule="auto" w:line="480"/>
        <w:rPr>
          <w:sz w:val="24"/>
          <w:szCs w:val="24"/>
        </w:rPr>
      </w:pPr>
      <w:r>
        <w:rPr>
          <w:sz w:val="24"/>
          <w:szCs w:val="24"/>
        </w:rPr>
      </w:r>
    </w:p>
    <w:p>
      <w:pPr>
        <w:pStyle w:val="Normal"/>
        <w:widowControl/>
        <w:spacing w:lineRule="auto" w:line="480"/>
        <w:rPr>
          <w:sz w:val="24"/>
          <w:szCs w:val="24"/>
        </w:rPr>
      </w:pPr>
      <w:r>
        <w:rPr>
          <w:sz w:val="24"/>
          <w:szCs w:val="24"/>
        </w:rPr>
      </w:r>
    </w:p>
    <w:p>
      <w:pPr>
        <w:pStyle w:val="Normal"/>
        <w:widowControl/>
        <w:spacing w:lineRule="auto" w:line="480"/>
        <w:rPr>
          <w:sz w:val="24"/>
          <w:szCs w:val="24"/>
        </w:rPr>
      </w:pPr>
      <w:r>
        <w:rPr>
          <w:sz w:val="24"/>
          <w:szCs w:val="24"/>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Helvetica">
    <w:altName w:val="Arial"/>
    <w:charset w:val="01"/>
    <w:family w:val="swiss"/>
    <w:pitch w:val="variable"/>
  </w:font>
  <w:font w:name="Palatino">
    <w:altName w:val="Book Antiqu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 filing this Motion, PG&amp;E reserves all legal rights by reason of its status as a debtor under Chapter 11 of the U.S. Bankruptcy Code, and nothing in this Motion constitutes a waiver of such rights.</w:t>
      </w:r>
    </w:p>
  </w:footnote>
  <w:footnote w:id="3">
    <w:p>
      <w:pPr>
        <w:pStyle w:val="FootnoteText"/>
        <w:rPr/>
      </w:pPr>
      <w:r>
        <w:rPr>
          <w:rStyle w:val="FootnoteCharacters"/>
        </w:rPr>
        <w:footnoteRef/>
      </w:r>
      <w:r>
        <w:rPr/>
        <w:t xml:space="preserve"> </w:t>
      </w:r>
      <w:r>
        <w:rPr/>
        <w:t>The market valuation dockets which would be consolidated in this proceeding include A.99-09-053 (hydroelectric assets); A.00-05-031 (Kern); and A.00-05-034 (Humboldt Bay).</w:t>
      </w:r>
    </w:p>
  </w:footnote>
  <w:footnote w:id="4">
    <w:p>
      <w:pPr>
        <w:pStyle w:val="FootnoteText"/>
        <w:rPr/>
      </w:pPr>
      <w:r>
        <w:rPr>
          <w:rStyle w:val="FootnoteCharacters"/>
        </w:rPr>
        <w:footnoteRef/>
      </w:r>
      <w:r>
        <w:rPr/>
        <w:t xml:space="preserve"> </w:t>
      </w:r>
      <w:r>
        <w:rPr/>
        <w:t>In its testimony served on parties on June 20, 2001, in this proceeding, PG&amp;E has proposed a final market valuation for its non-nuclear utility generation related assets to be used in establishing the revenue requirement for those assets on a going-forward basis.  Pursuant to a schedule change reported by certain parties to have been made by the ALJ in this proceeding, intervenors are scheduled to file testimony by July 16, 2001, responding to PG&amp;E’s market valuation proposal and other aspects of its retained generation testimony.  In addition, in A.99-09-053, PG&amp;E and intervenors have filed extensive testimony providing estimates of the market value of PG&amp;E’s hydroelectric generating assets, which represent the bulk of PG&amp;E’s generating assets still required to be valued pursuant to Public Utilities Code Section 367(b).  For these reasons, PG&amp;E believes that the record regarding PG&amp;E’s remaining non-nuclear generating assets is complete, fully developed and sufficient for the purposes of a final Commission decision establishing the market valuation of those assets.</w:t>
      </w:r>
    </w:p>
  </w:footnote>
  <w:footnote w:id="5">
    <w:p>
      <w:pPr>
        <w:pStyle w:val="FootnoteText"/>
        <w:rPr/>
      </w:pPr>
      <w:r>
        <w:rPr>
          <w:rStyle w:val="FootnoteCharacters"/>
        </w:rPr>
        <w:footnoteRef/>
      </w:r>
      <w:r>
        <w:rPr/>
        <w:t xml:space="preserve"> </w:t>
      </w:r>
      <w:r>
        <w:rPr/>
        <w:t>PG&amp;E filed its application to market value its hydroelectric assets in A.99-09-053 on September 30, 1999, and the 18 month deadline in Rule 6(e) and Senate Bill 960 (Ch.96-0856) for resolving the proceeding has long since passed.  The original scoping memo issued January 13, 2000 by the Assigned Commissioner and Administrative Law Judge established October 19, 2000 as the deadline for a final Commission decision on PG&amp;E’s application, and June 1, 2001 as the deadline for closing the divestiture process altogether.  In support of canceling a scheduled prehearing conference and public participation hearings on PG&amp;E’s hydroelectric market valuation, the January 22, 2001 Chief ALJ Ruling cited enactment of AB 6X as well as unspecified pending “Additional legislative efforts that may affect the conduct of this proceeding.”  PG&amp;E is unaware of any such currently pending legislative efforts, and it appears that no administrative law judge is currently assigned to PG&amp;E’s hydroelectric market valuation proceeding.</w:t>
      </w:r>
    </w:p>
  </w:footnote>
  <w:footnote w:id="6">
    <w:p>
      <w:pPr>
        <w:pStyle w:val="FootnoteText"/>
        <w:rPr/>
      </w:pPr>
      <w:r>
        <w:rPr>
          <w:rStyle w:val="FootnoteCharacters"/>
        </w:rPr>
        <w:footnoteRef/>
      </w:r>
      <w:r>
        <w:rPr/>
        <w:t xml:space="preserve"> </w:t>
      </w:r>
      <w:r>
        <w:rPr/>
        <w:t>In filing this Motion or any other pleading or testimony in this proceeding, PG&amp;E does not waive its rights to challenge the legality of AB 6X or any application of AB 6X to PG&amp;E by the CPUC or any other governmental entity.</w:t>
      </w:r>
    </w:p>
  </w:footnote>
  <w:footnote w:id="7">
    <w:p>
      <w:pPr>
        <w:pStyle w:val="FootnoteText"/>
        <w:rPr/>
      </w:pPr>
      <w:r>
        <w:rPr>
          <w:rStyle w:val="FootnoteCharacters"/>
        </w:rPr>
        <w:footnoteRef/>
      </w:r>
      <w:r>
        <w:rPr/>
        <w:t xml:space="preserve"> </w:t>
      </w:r>
      <w:r>
        <w:rPr/>
        <w:t>Section 367(b) requires that the Commission’s market valuations “shall be based on appraisal, sale or other divestiture.”</w:t>
      </w:r>
    </w:p>
  </w:footnote>
  <w:footnote w:id="8">
    <w:p>
      <w:pPr>
        <w:pStyle w:val="FootnoteText"/>
        <w:rPr/>
      </w:pPr>
      <w:r>
        <w:rPr>
          <w:rStyle w:val="FootnoteCharacters"/>
        </w:rPr>
        <w:footnoteRef/>
      </w:r>
      <w:r>
        <w:rPr/>
        <w:t xml:space="preserve"> “</w:t>
      </w:r>
      <w:r>
        <w:rPr/>
        <w:t>Response of the California Resources Agency to Pacific Gas and Electric Company’s Motion to Suspend CEQA Review,” March 7, 2001, A.99-09-053.</w:t>
      </w:r>
    </w:p>
  </w:footnote>
  <w:footnote w:id="9">
    <w:p>
      <w:pPr>
        <w:pStyle w:val="FootnoteText"/>
        <w:rPr/>
      </w:pPr>
      <w:r>
        <w:rPr>
          <w:rStyle w:val="FootnoteCharacters"/>
        </w:rPr>
        <w:footnoteRef/>
      </w:r>
      <w:r>
        <w:rPr/>
        <w:t xml:space="preserve"> </w:t>
      </w:r>
      <w:r>
        <w:rPr/>
        <w:t>See, e.g., D.99-10-057; modified on rehearing, D.00-03-058; D.00-06-004.</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FootnoteCharacters">
    <w:name w:val="Footnote Characters"/>
    <w:basedOn w:val="DefaultParagraphFont"/>
    <w:qFormat/>
    <w:rPr>
      <w:sz w:val="20"/>
      <w:szCs w:val="20"/>
      <w:vertAlign w:val="superscript"/>
    </w:rPr>
  </w:style>
  <w:style w:type="character" w:styleId="LetterDate">
    <w:name w:val="LetterDate"/>
    <w:basedOn w:val="DefaultParagraphFont"/>
    <w:qFormat/>
    <w:rPr>
      <w:rFonts w:ascii="Times New Roman" w:hAnsi="Times New Roman" w:eastAsia="Times New Roman" w:cs="Times New Roman"/>
      <w:color w:val="auto"/>
      <w:spacing w:val="0"/>
      <w:kern w:val="0"/>
      <w:position w:val="0"/>
      <w:sz w:val="24"/>
      <w:sz w:val="24"/>
      <w:szCs w:val="24"/>
      <w:u w:val="none"/>
      <w:vertAlign w:val="baselin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main">
    <w:name w:val="main"/>
    <w:basedOn w:val="Normal"/>
    <w:qFormat/>
    <w:pPr>
      <w:jc w:val="center"/>
    </w:pPr>
    <w:rPr>
      <w:rFonts w:ascii="Helvetica" w:hAnsi="Helvetica" w:eastAsia="Helvetica" w:cs="Helvetica"/>
      <w:b/>
      <w:bCs/>
      <w:sz w:val="26"/>
      <w:szCs w:val="26"/>
    </w:rPr>
  </w:style>
  <w:style w:type="paragraph" w:styleId="Header">
    <w:name w:val="header"/>
    <w:basedOn w:val="Normal"/>
    <w:pPr>
      <w:tabs>
        <w:tab w:val="clear" w:pos="720"/>
        <w:tab w:val="center" w:pos="4320" w:leader="none"/>
        <w:tab w:val="right" w:pos="8640" w:leader="none"/>
      </w:tabs>
    </w:pPr>
    <w:rPr>
      <w:rFonts w:ascii="Palatino;Book Antiqua" w:hAnsi="Palatino;Book Antiqua" w:eastAsia="Palatino;Book Antiqua" w:cs="Palatino;Book Antiqua"/>
      <w:sz w:val="26"/>
      <w:szCs w:val="26"/>
    </w:rPr>
  </w:style>
  <w:style w:type="paragraph" w:styleId="FootnoteText">
    <w:name w:val="footnote text"/>
    <w:basedOn w:val="Normal"/>
    <w:pPr/>
    <w:rPr/>
  </w:style>
  <w:style w:type="paragraph" w:styleId="Address">
    <w:name w:val="Address"/>
    <w:basedOn w:val="Normal"/>
    <w:qFormat/>
    <w:pPr>
      <w:widowControl/>
    </w:pPr>
    <w:rPr>
      <w:sz w:val="24"/>
      <w:szCs w:val="24"/>
    </w:rPr>
  </w:style>
  <w:style w:type="paragraph" w:styleId="EnvelopeAddress">
    <w:name w:val="envelope address"/>
    <w:basedOn w:val="Normal"/>
    <w:pPr>
      <w:widowControl/>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2001-07-05T13:22:00Z</dcterms:created>
  <dc:creator>Chris Chouteau</dc:creator>
  <dc:description/>
  <dc:language>en-CA</dc:language>
  <cp:lastModifiedBy>Daniel W. Douglass</cp:lastModifiedBy>
  <cp:lastPrinted>2001-07-03T13:22:00Z</cp:lastPrinted>
  <dcterms:modified xsi:type="dcterms:W3CDTF">2001-07-05T13:22:00Z</dcterms:modified>
  <cp:revision>2</cp:revision>
  <dc:subject/>
  <dc:title>Comments of PG&amp;E</dc:title>
</cp:coreProperties>
</file>