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Southwest Gas  Advice Letter Summary</w:t>
        <w:br/>
        <w:br/>
        <w:t>July 30, 2001</w:t>
      </w:r>
    </w:p>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640</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Southwest</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7/13/01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8/2/01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WW-BodyText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26"/>
              <w:rPr/>
            </w:pPr>
            <w:r>
              <w:rPr/>
              <w:t>The purpose of this advice filing is to comply with ALJ Gottstein’s June 15 Ruling on Filing Procedures to Implement ABx1 3. Ordering Paragraph 3 of the Ruling required the smaller jurisdictional utilities, including Southwest, to provide an estimate of the one-time natural gas credit for newly enrolled CARE customers required under Section 739.4(a) of the Public Utilities Code, as set forth in ABx1 3. Southwest further asks that the amount of ABx1 3 bill credits provided to customers be tracked in a balancing account and full recovery be permitted.</w:t>
            </w:r>
          </w:p>
          <w:p>
            <w:pPr>
              <w:pStyle w:val="WW-BodyText2"/>
              <w:widowControl/>
              <w:rPr/>
            </w:pPr>
            <w:r>
              <w:rPr/>
            </w:r>
          </w:p>
        </w:tc>
      </w:tr>
    </w:tbl>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1565-E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Southwest</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7/27/01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8/16/01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The purpose of this advice filing is to comply with ALJ Gottstein’s June 15 Ruling on Filing Procedures to Implement Assembly Billx1 3.  Ordering Paragraph 3 of the Ruling required all jurisdictional utilities to file for approval of outgoing messages and quarterly bill notices required under Sections (b)(1) and (b)(4) of Section 739.4 of the Public Utilities Code.   </w:t>
            </w:r>
          </w:p>
          <w:p>
            <w:pPr>
              <w:pStyle w:val="WW-BodyText2"/>
              <w:widowControl/>
              <w:rPr/>
            </w:pPr>
            <w:r>
              <w:rPr/>
            </w:r>
          </w:p>
        </w:tc>
      </w:tr>
    </w:tbl>
    <w:p>
      <w:pPr>
        <w:pStyle w:val="Body"/>
        <w:widowControl/>
        <w:spacing w:before="0" w:after="0"/>
        <w:ind w:hanging="0" w:end="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296"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op w:val="dashed" w:sz="6" w:space="0" w:color="auto"/>
            <w:start w:val="dashed" w:sz="6" w:space="0" w:color="auto"/>
            <w:bottom w:val="dashed" w:sz="6" w:space="0" w:color="auto"/>
            <w:end w:val="dashed" w:sz="6" w:space="0" w:color="auto"/>
          </w:tcBorders>
        </w:tcPr>
        <w:p>
          <w:pPr>
            <w:pStyle w:val="FooterTxt"/>
            <w:widowControl/>
            <w:snapToGrid w:val="false"/>
            <w:rPr/>
          </w:pPr>
          <w:r>
            <w:rPr/>
          </w:r>
        </w:p>
        <w:p>
          <w:pPr>
            <w:pStyle w:val="FooterTxt"/>
            <w:widowControl/>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0</w:t>
          </w:r>
          <w:r>
            <w:rPr>
              <w:rStyle w:val="PageNumber"/>
              <w:sz w:val="24"/>
              <w:szCs w:val="24"/>
            </w:rPr>
            <w:fldChar w:fldCharType="end"/>
          </w:r>
          <w:r>
            <w:rPr>
              <w:rStyle w:val="PageNumber"/>
              <w:sz w:val="24"/>
              <w:szCs w:val="24"/>
            </w:rPr>
            <w:t>.</w:t>
          </w:r>
        </w:p>
      </w:tc>
      <w:tc>
        <w:tcPr>
          <w:tcW w:w="3690"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op w:val="dashed" w:sz="6" w:space="0" w:color="auto"/>
            <w:start w:val="dashed" w:sz="6" w:space="0" w:color="auto"/>
            <w:bottom w:val="dashed" w:sz="6" w:space="0" w:color="auto"/>
            <w:end w:val="dashed" w:sz="6" w:space="0" w:color="auto"/>
          </w:tcBorders>
        </w:tcPr>
        <w:p>
          <w:pPr>
            <w:pStyle w:val="FooterTxt"/>
            <w:widowControl/>
            <w:snapToGrid w:val="false"/>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pPr>
          <w:r>
            <w:rPr/>
          </w:r>
        </w:p>
      </w:tc>
      <w:tc>
        <w:tcPr>
          <w:tcW w:w="3686"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SCE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WW-BodyText2">
    <w:name w:val="WW-Body Text 2"/>
    <w:basedOn w:val="Normal"/>
    <w:qFormat/>
    <w:pPr>
      <w:jc w:val="both"/>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2001-07-31T01:42:00Z</dcterms:created>
  <dc:creator>Arter &amp; Hadden</dc:creator>
  <dc:description/>
  <dc:language>en-CA</dc:language>
  <cp:lastModifiedBy>Daniel W. Douglass</cp:lastModifiedBy>
  <cp:lastPrinted>2001-07-30T20:35:00Z</cp:lastPrinted>
  <dcterms:modified xsi:type="dcterms:W3CDTF">2001-07-31T01:56:00Z</dcterms:modified>
  <cp:revision>4</cp:revision>
  <dc:subject/>
  <dc:title>Edison Advice Letter Summary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