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Edison Advice Letter Summary</w:t>
        <w:br/>
        <w:br/>
        <w:t>July 30, 2001</w:t>
      </w:r>
    </w:p>
    <w:p>
      <w:pPr>
        <w:pStyle w:val="Body"/>
        <w:widowControl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255"/>
        <w:gridCol w:w="289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2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114-G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7/23/01</w:t>
            </w:r>
          </w:p>
        </w:tc>
        <w:tc>
          <w:tcPr>
            <w:tcW w:w="22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8/12/01</w:t>
            </w:r>
          </w:p>
        </w:tc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120"/>
              <w:ind w:hanging="187" w:start="187" w:end="1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>This advice filing is made to submit changes to the gas tariff schedules applicable to Santa Catalina Island.</w:t>
            </w:r>
          </w:p>
          <w:p>
            <w:pPr>
              <w:pStyle w:val="WW-BodyText2"/>
              <w:widowControl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255"/>
        <w:gridCol w:w="289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2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1565-E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7/27/01</w:t>
            </w:r>
          </w:p>
        </w:tc>
        <w:tc>
          <w:tcPr>
            <w:tcW w:w="22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[none specified]</w:t>
            </w:r>
          </w:p>
        </w:tc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120"/>
              <w:ind w:hanging="187" w:start="187" w:end="1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WW-BodyText2"/>
              <w:widowControl/>
              <w:rPr/>
            </w:pPr>
            <w:r>
              <w:rPr/>
              <w:t>This advice filing revises SCE’s Rule 21, Generating Facility Interconnections, and Schedule S, Standby, to reflect that for solar generating facilities up to 1 MW that do not sell power to the grid, the interconnection fees will be waived up to the amount of $5,000 and the account will be exempt from standby charges under Schedule S.</w:t>
            </w:r>
          </w:p>
          <w:p>
            <w:pPr>
              <w:pStyle w:val="WW-BodyText2"/>
              <w:widowControl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296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SCE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WW-BodyText2">
    <w:name w:val="WW-Body Text 2"/>
    <w:basedOn w:val="Normal"/>
    <w:qFormat/>
    <w:pPr>
      <w:jc w:val="both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2001-07-31T01:04:00Z</dcterms:created>
  <dc:creator>Arter &amp; Hadden</dc:creator>
  <dc:description/>
  <dc:language>en-CA</dc:language>
  <cp:lastModifiedBy>Daniel W. Douglass</cp:lastModifiedBy>
  <cp:lastPrinted>2001-07-30T20:35:00Z</cp:lastPrinted>
  <dcterms:modified xsi:type="dcterms:W3CDTF">2001-07-31T01:05:00Z</dcterms:modified>
  <cp:revision>3</cp:revision>
  <dc:subject/>
  <dc:title>Edison Advice Letter Summary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ocNumber">
    <vt:lpwstr>1</vt:lpwstr>
  </property>
  <property fmtid="{D5CDD505-2E9C-101B-9397-08002B2CF9AE}" pid="4" name="DocVersion">
    <vt:lpwstr>1</vt:lpwstr>
  </property>
  <property fmtid="{D5CDD505-2E9C-101B-9397-08002B2CF9AE}" pid="5" name="Matter">
    <vt:lpwstr> </vt:lpwstr>
  </property>
</Properties>
</file>