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PG&amp;E Advice Letter Summary</w:t>
      </w:r>
    </w:p>
    <w:p>
      <w:pPr>
        <w:pStyle w:val="Body"/>
        <w:widowControl/>
        <w:ind w:hanging="0" w:end="0"/>
        <w:jc w:val="center"/>
        <w:rPr/>
      </w:pPr>
      <w:r>
        <w:rPr/>
        <w:t>July 30, 2001</w:t>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2136-E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7/13/01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8/2/01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BodyText2"/>
              <w:widowControl/>
              <w:rPr/>
            </w:pPr>
            <w:r>
              <w:rPr/>
              <w:t>The purpose of this filing is to provide notice of proposed construction of facilities pursuant to General Order 131-D, consisting of new power lines #728 and #730 in the City of Fresno.</w:t>
            </w:r>
          </w:p>
          <w:p>
            <w:pPr>
              <w:pStyle w:val="BodyText2"/>
              <w:rPr/>
            </w:pPr>
            <w:r>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2137-E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7/13/01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8/2/01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Text"/>
              <w:ind w:hanging="0" w:end="0"/>
              <w:jc w:val="both"/>
              <w:rPr>
                <w:b/>
              </w:rPr>
            </w:pPr>
            <w:r>
              <w:rPr>
                <w:b/>
              </w:rPr>
              <w:t>Analysis:</w:t>
            </w:r>
          </w:p>
          <w:p>
            <w:pPr>
              <w:pStyle w:val="Normal"/>
              <w:widowControl/>
              <w:jc w:val="both"/>
              <w:rPr/>
            </w:pPr>
            <w:r>
              <w:rPr/>
              <w:t xml:space="preserve">The purpose of this filing is to provide notice of proposed construction of facilities pursuant to General </w:t>
            </w:r>
            <w:r>
              <w:rPr>
                <w:color w:val="000000"/>
              </w:rPr>
              <w:t>Order 131-D, relocation of distribution power line #722 for Sempra Energy, in the County of Kern.</w:t>
            </w:r>
          </w:p>
          <w:p>
            <w:pPr>
              <w:pStyle w:val="BodyText2"/>
              <w:rPr/>
            </w:pPr>
            <w:r>
              <w:rPr/>
              <w:t xml:space="preserve"> </w:t>
            </w:r>
          </w:p>
        </w:tc>
      </w:tr>
    </w:tbl>
    <w:p>
      <w:pPr>
        <w:pStyle w:val="Body"/>
        <w:widowControl/>
        <w:spacing w:before="0" w:after="0"/>
        <w:ind w:hanging="0" w:end="0"/>
        <w:jc w:val="center"/>
        <w:rPr>
          <w:b/>
          <w:u w:val="single"/>
        </w:rPr>
      </w:pPr>
      <w:r>
        <w:rPr>
          <w:b/>
          <w:u w:val="single"/>
        </w:rPr>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2138-E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7/13/01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8/2/01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jc w:val="both"/>
              <w:rPr>
                <w:color w:val="000000"/>
              </w:rPr>
            </w:pPr>
            <w:r>
              <w:rPr>
                <w:color w:val="000000"/>
              </w:rPr>
              <w:t>The purpose of this filing is to file tariffs for a new Demand Bidding Program (DBP), to be implemented jointly by PG&amp;E, SCE, and SDG&amp;E, the California Independent System Operator and the California Department of Water Resources. The UDCs are filing concurrent separate advice filings to implement the new DBP and cancel their currently authorized Voluntary Demand Reduction Programs.</w:t>
            </w:r>
          </w:p>
          <w:p>
            <w:pPr>
              <w:pStyle w:val="Normal"/>
              <w:jc w:val="both"/>
              <w:rPr/>
            </w:pPr>
            <w:r>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2139-E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7/13/01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8/2/01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jc w:val="both"/>
              <w:rPr/>
            </w:pPr>
            <w:r>
              <w:rPr>
                <w:color w:val="000000"/>
              </w:rPr>
              <w:t xml:space="preserve">The purpose of this filing is to </w:t>
            </w:r>
            <w:r>
              <w:rPr/>
              <w:t>submit for filing a summary of the entries made to the Vegetation Management Balancing Account for the period January 1 through December 31, 2000, and  request approval to transfer the year-end 2000 balance to the Transition Revenue Account.</w:t>
            </w:r>
          </w:p>
          <w:p>
            <w:pPr>
              <w:pStyle w:val="Normal"/>
              <w:jc w:val="both"/>
              <w:rPr/>
            </w:pPr>
            <w:r>
              <w:rPr/>
            </w:r>
          </w:p>
        </w:tc>
      </w:tr>
    </w:tbl>
    <w:p>
      <w:pPr>
        <w:pStyle w:val="Body"/>
        <w:widowControl/>
        <w:spacing w:before="0" w:after="0"/>
        <w:ind w:hanging="0" w:end="0"/>
        <w:jc w:val="both"/>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2329-G / 2140-E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7/17/01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8/6/01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BodyText2"/>
              <w:rPr/>
            </w:pPr>
            <w:r>
              <w:rPr/>
              <w:t>The purpose of this filing is to submit revisions to PG&amp;E’s gas and electric tariffs.  This filing is in compliance with Interim Opinion Decision 01-07-028 issued July 12, which modifies D.01-03-073, issued March 27. Included in this filing are proposed electric and gas balancing accounts to track all self-generation and demand responsiveness program costs authorized in these decisions. The affected tariff sheets are listed on enclosed Attachment I.  This advice letter replaces and supersedes Advice 2310-G/2100-E filed on April 11.  PG&amp;E will withdraw Advice 2310-G/2100-E upon Commission approval of this filing.</w:t>
            </w:r>
          </w:p>
          <w:p>
            <w:pPr>
              <w:pStyle w:val="Normal"/>
              <w:jc w:val="both"/>
              <w:rPr/>
            </w:pPr>
            <w:r>
              <w:rPr/>
            </w:r>
          </w:p>
        </w:tc>
      </w:tr>
    </w:tbl>
    <w:p>
      <w:pPr>
        <w:pStyle w:val="Body"/>
        <w:widowControl/>
        <w:spacing w:before="0" w:after="0"/>
        <w:ind w:hanging="0" w:end="0"/>
        <w:jc w:val="both"/>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2325-G-A / 2131-E-A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7/17/01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8/6/01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BodyText2"/>
              <w:widowControl/>
              <w:rPr/>
            </w:pPr>
            <w:r>
              <w:rPr/>
              <w:t>The purpose of this filing is to make a specific recommendation as to the proper allocation of the $85 million set aside for the California Alternate Rate for Energy (CARE) program.</w:t>
            </w:r>
          </w:p>
          <w:p>
            <w:pPr>
              <w:pStyle w:val="Normal"/>
              <w:jc w:val="both"/>
              <w:rPr/>
            </w:pPr>
            <w:r>
              <w:rPr/>
            </w:r>
          </w:p>
        </w:tc>
      </w:tr>
    </w:tbl>
    <w:p>
      <w:pPr>
        <w:pStyle w:val="Body"/>
        <w:widowControl/>
        <w:spacing w:before="0" w:after="0"/>
        <w:ind w:hanging="0" w:end="0"/>
        <w:jc w:val="both"/>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2141-E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7/19/01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8/8/01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jc w:val="both"/>
              <w:rPr/>
            </w:pPr>
            <w:r>
              <w:rPr>
                <w:bCs/>
              </w:rPr>
              <w:t xml:space="preserve">The purpose of this filing is to </w:t>
            </w:r>
            <w:r>
              <w:rPr/>
              <w:t>submit a new standard form agreement, for the purpose of formalizing the granting of unmetered electric service.  It has been PG&amp;E’s practice to provide unmetered service to customers with constant load, and consistent hours of operation, where the load is so small that it is uneconomical to meter.  A large number of the existing unmetered services also supply telecommunications devices, which have traditionally been mounted on public utility poles.</w:t>
            </w:r>
          </w:p>
          <w:p>
            <w:pPr>
              <w:pStyle w:val="Normal"/>
              <w:jc w:val="both"/>
              <w:rPr/>
            </w:pPr>
            <w:r>
              <w:rPr/>
            </w:r>
          </w:p>
        </w:tc>
      </w:tr>
    </w:tbl>
    <w:p>
      <w:pPr>
        <w:pStyle w:val="Body"/>
        <w:widowControl/>
        <w:spacing w:before="0" w:after="0"/>
        <w:ind w:hanging="0" w:end="0"/>
        <w:jc w:val="both"/>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2142-E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7/27/01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8/16/01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widowControl/>
              <w:jc w:val="both"/>
              <w:rPr/>
            </w:pPr>
            <w:r>
              <w:rPr/>
              <w:t xml:space="preserve">The purpose of this filing is to provide revisions to electric rate Schedule S – </w:t>
            </w:r>
            <w:r>
              <w:rPr>
                <w:i/>
              </w:rPr>
              <w:t xml:space="preserve">Standby Service, </w:t>
            </w:r>
            <w:r>
              <w:rPr/>
              <w:t xml:space="preserve">electric Rule 21 – </w:t>
            </w:r>
            <w:r>
              <w:rPr>
                <w:i/>
              </w:rPr>
              <w:t>Generating Facility Interconnections</w:t>
            </w:r>
            <w:r>
              <w:rPr/>
              <w:t>, and various other electric rate tariffs, to ensure that qualifying customers installing solar generating units will have the opportunity to be served under the applicable rates, rules, and requirements.  Solar generating units up to one megawatt that do not export power to the grid, will be waived for up to $5,000 for any interconnection fees.  In addition, solar generating units up to one mW that do not sell power to the grid will be notified that they will be served under their otherwise-applicable electric rate schedule and that any other standby charges will no longer apply.</w:t>
            </w:r>
          </w:p>
          <w:p>
            <w:pPr>
              <w:pStyle w:val="Normal"/>
              <w:jc w:val="both"/>
              <w:rPr/>
            </w:pPr>
            <w:r>
              <w:rPr/>
            </w:r>
          </w:p>
        </w:tc>
      </w:tr>
    </w:tbl>
    <w:p>
      <w:pPr>
        <w:pStyle w:val="Body"/>
        <w:widowControl/>
        <w:spacing w:before="0" w:after="0"/>
        <w:ind w:hanging="0" w:end="0"/>
        <w:jc w:val="both"/>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2330-G / 2143-E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7/27/01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8/16/01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jc w:val="both"/>
              <w:rPr/>
            </w:pPr>
            <w:r>
              <w:rPr>
                <w:color w:val="000000"/>
              </w:rPr>
              <w:t xml:space="preserve">The purpose of this filing is to make changes to gas and electric Rule 13, Temporary Service Agreement, to make it consistent with recent changes in allowances and reimbursements set forth in gas Rule 15, </w:t>
            </w:r>
            <w:r>
              <w:rPr>
                <w:i/>
                <w:color w:val="000000"/>
              </w:rPr>
              <w:t>Gas Main Extensions</w:t>
            </w:r>
            <w:r>
              <w:rPr>
                <w:color w:val="000000"/>
              </w:rPr>
              <w:t xml:space="preserve">, electric Rule 15, </w:t>
            </w:r>
            <w:r>
              <w:rPr>
                <w:i/>
                <w:color w:val="000000"/>
              </w:rPr>
              <w:t>Distribution Line</w:t>
            </w:r>
            <w:r>
              <w:rPr>
                <w:color w:val="000000"/>
              </w:rPr>
              <w:t xml:space="preserve"> </w:t>
            </w:r>
            <w:r>
              <w:rPr>
                <w:i/>
                <w:color w:val="000000"/>
              </w:rPr>
              <w:t>Extensions,</w:t>
            </w:r>
            <w:r>
              <w:rPr>
                <w:color w:val="000000"/>
              </w:rPr>
              <w:t xml:space="preserve"> gas Rule 16, </w:t>
            </w:r>
            <w:r>
              <w:rPr>
                <w:i/>
                <w:color w:val="000000"/>
              </w:rPr>
              <w:t>Gas Service</w:t>
            </w:r>
            <w:r>
              <w:rPr>
                <w:color w:val="000000"/>
              </w:rPr>
              <w:t xml:space="preserve"> </w:t>
            </w:r>
            <w:r>
              <w:rPr>
                <w:i/>
                <w:color w:val="000000"/>
              </w:rPr>
              <w:t>Extensions</w:t>
            </w:r>
            <w:r>
              <w:rPr>
                <w:color w:val="000000"/>
              </w:rPr>
              <w:t xml:space="preserve">, and electric Rule 16, </w:t>
            </w:r>
            <w:r>
              <w:rPr>
                <w:i/>
                <w:color w:val="000000"/>
              </w:rPr>
              <w:t>Service Extensions</w:t>
            </w:r>
            <w:r>
              <w:rPr>
                <w:color w:val="000000"/>
              </w:rPr>
              <w:t>.  When a customer changes from temporary service to permanent service, PG&amp;E is to make refunds, “on the basis of the extension rule in effect at the time temporary service was first rendered.”  These changes will simplify the Agreement and will allow PG&amp;E to identify future refundable costs should the service be reclassified to permanent under the Agreement.</w:t>
            </w:r>
          </w:p>
          <w:p>
            <w:pPr>
              <w:pStyle w:val="Normal"/>
              <w:jc w:val="both"/>
              <w:rPr>
                <w:color w:val="000000"/>
              </w:rPr>
            </w:pPr>
            <w:r>
              <w:rPr>
                <w:color w:val="000000"/>
              </w:rPr>
            </w:r>
          </w:p>
        </w:tc>
      </w:tr>
    </w:tbl>
    <w:p>
      <w:pPr>
        <w:pStyle w:val="Body"/>
        <w:widowControl/>
        <w:spacing w:before="0" w:after="0"/>
        <w:ind w:hanging="0" w:end="0"/>
        <w:jc w:val="both"/>
        <w:rPr/>
      </w:pPr>
      <w:r>
        <w:rPr/>
      </w:r>
    </w:p>
    <w:tbl>
      <w:tblPr>
        <w:tblW w:w="9576" w:type="dxa"/>
        <w:jc w:val="start"/>
        <w:tblInd w:w="0" w:type="dxa"/>
        <w:tblLayout w:type="fixed"/>
        <w:tblCellMar>
          <w:top w:w="0" w:type="dxa"/>
          <w:start w:w="108" w:type="dxa"/>
          <w:bottom w:w="0" w:type="dxa"/>
          <w:end w:w="108" w:type="dxa"/>
        </w:tblCellMar>
      </w:tblPr>
      <w:tblGrid>
        <w:gridCol w:w="1368"/>
        <w:gridCol w:w="1490"/>
        <w:gridCol w:w="1390"/>
        <w:gridCol w:w="2520"/>
        <w:gridCol w:w="280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2144-E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3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7/27/01</w:t>
            </w:r>
          </w:p>
        </w:tc>
        <w:tc>
          <w:tcPr>
            <w:tcW w:w="252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t>8/16/01</w:t>
            </w:r>
          </w:p>
        </w:tc>
        <w:tc>
          <w:tcPr>
            <w:tcW w:w="280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rPr>
            </w:pPr>
            <w:r>
              <w:rPr>
                <w:b/>
              </w:rPr>
              <w:t xml:space="preserve">Analysis:  </w:t>
            </w:r>
          </w:p>
          <w:p>
            <w:pPr>
              <w:pStyle w:val="Normal"/>
              <w:widowControl/>
              <w:rPr/>
            </w:pPr>
            <w:r>
              <w:rPr/>
              <w:t xml:space="preserve">The purpose of this filing is to provide </w:t>
            </w:r>
            <w:r>
              <w:rPr>
                <w:bCs/>
              </w:rPr>
              <w:t>notice of the proposed construction of facilities, a 230 kv transmission power line reinforcement project in the County of Contra Costa.</w:t>
            </w:r>
          </w:p>
          <w:p>
            <w:pPr>
              <w:pStyle w:val="Normal"/>
              <w:widowControl/>
              <w:rPr/>
            </w:pPr>
            <w:r>
              <w:rPr/>
              <w:t xml:space="preserve"> </w:t>
            </w:r>
          </w:p>
          <w:p>
            <w:pPr>
              <w:pStyle w:val="Normal"/>
              <w:jc w:val="both"/>
              <w:rPr/>
            </w:pPr>
            <w:r>
              <w:rPr/>
            </w:r>
          </w:p>
        </w:tc>
      </w:tr>
    </w:tbl>
    <w:p>
      <w:pPr>
        <w:pStyle w:val="Body"/>
        <w:widowControl/>
        <w:spacing w:before="0" w:after="0"/>
        <w:ind w:hanging="0" w:end="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Symbol">
    <w:altName w:val="Times New Roman"/>
    <w:charset w:val="02"/>
    <w:family w:val="roman"/>
    <w:pitch w:val="variable"/>
  </w:font>
  <w:font w:name="Liberation Sans">
    <w:altName w:val="Arial"/>
    <w:charset w:val="01" w:characterSet="utf-8"/>
    <w:family w:val="swiss"/>
    <w:pitch w:val="variable"/>
  </w:font>
  <w:font w:name="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PG&amp;E Advice Letter Summary</w:t>
    </w:r>
  </w:p>
  <w:p>
    <w:pPr>
      <w:pStyle w:val="Header"/>
      <w:rPr/>
    </w:pPr>
    <w:r>
      <w:rPr/>
      <w:t>July 31, 2001</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St1z0">
    <w:name w:val="WW8NumSt1z0"/>
    <w:qFormat/>
    <w:rPr>
      <w:rFonts w:ascii="Symbol;Times New Roman" w:hAnsi="Symbol;Times New Roman" w:cs="Symbol;Times New Roman"/>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character" w:styleId="Strong">
    <w:name w:val="Strong"/>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jc w:val="both"/>
    </w:pPr>
    <w:rPr/>
  </w:style>
  <w:style w:type="paragraph" w:styleId="BlockText">
    <w:name w:val="Block Text"/>
    <w:basedOn w:val="Normal"/>
    <w:qFormat/>
    <w:pPr>
      <w:ind w:hanging="0" w:start="1620" w:end="1620"/>
      <w:jc w:val="both"/>
    </w:pPr>
    <w:rPr>
      <w:rFonts w:ascii="Arial;Arial" w:hAnsi="Arial;Arial" w:cs="Arial;Arial"/>
    </w:rPr>
  </w:style>
  <w:style w:type="paragraph" w:styleId="BodyText3">
    <w:name w:val="Body Text 3"/>
    <w:basedOn w:val="Normal"/>
    <w:qFormat/>
    <w:pPr>
      <w:widowControl/>
      <w:jc w:val="both"/>
    </w:pPr>
    <w:rPr>
      <w:rFonts w:ascii="Arial;Arial" w:hAnsi="Arial;Arial" w:cs="Arial;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2001-07-31T00:21:00Z</dcterms:created>
  <dc:creator>Arter &amp; Hadden</dc:creator>
  <dc:description/>
  <dc:language>en-CA</dc:language>
  <cp:lastModifiedBy>Daniel W. Douglass</cp:lastModifiedBy>
  <cp:lastPrinted>2001-07-30T20:18:00Z</cp:lastPrinted>
  <dcterms:modified xsi:type="dcterms:W3CDTF">2001-07-31T00:48:00Z</dcterms:modified>
  <cp:revision>9</cp:revision>
  <dc:subject/>
  <dc:title>A</dc:title>
</cp:coreProperties>
</file>