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pPr>
      <w:r>
        <w:rPr/>
        <w:fldChar w:fldCharType="begin"/>
      </w:r>
      <w:r>
        <w:rPr/>
        <w:instrText xml:space="preserve"> DATE \@"MMMM\ d', 'yyyy" </w:instrText>
      </w:r>
      <w:r>
        <w:rPr/>
        <w:fldChar w:fldCharType="separate"/>
      </w:r>
      <w:r>
        <w:rPr/>
        <w:t>September 28, 2025</w:t>
      </w:r>
      <w:r>
        <w:rPr/>
        <w:fldChar w:fldCharType="end"/>
      </w:r>
    </w:p>
    <w:p>
      <w:pPr>
        <w:pStyle w:val="zNames"/>
        <w:rPr/>
      </w:pPr>
      <w:bookmarkStart w:id="0" w:name="AddName"/>
      <w:bookmarkEnd w:id="0"/>
      <w:r>
        <w:rPr/>
        <w:t>Mr. Thomas M. Hannigan, Director</w:t>
      </w:r>
    </w:p>
    <w:p>
      <w:pPr>
        <w:pStyle w:val="InsideAddress"/>
        <w:rPr/>
      </w:pPr>
      <w:bookmarkStart w:id="1" w:name="InsideAdd"/>
      <w:bookmarkEnd w:id="1"/>
      <w:r>
        <w:rPr/>
        <w:t>California Department of Water Resources</w:t>
      </w:r>
    </w:p>
    <w:p>
      <w:pPr>
        <w:pStyle w:val="InsideAddress"/>
        <w:rPr/>
      </w:pPr>
      <w:r>
        <w:rPr/>
        <w:t>1416 Ninth Street, 11th Floor</w:t>
      </w:r>
    </w:p>
    <w:p>
      <w:pPr>
        <w:pStyle w:val="InsideAddress"/>
        <w:rPr/>
      </w:pPr>
      <w:r>
        <w:rPr/>
        <w:t>P.O. Box 942836</w:t>
      </w:r>
    </w:p>
    <w:p>
      <w:pPr>
        <w:pStyle w:val="InsideAddress"/>
        <w:rPr/>
      </w:pPr>
      <w:r>
        <w:rPr/>
        <w:t>Sacramento, California  94236-0001</w:t>
      </w:r>
    </w:p>
    <w:tbl>
      <w:tblPr>
        <w:tblW w:w="6588" w:type="dxa"/>
        <w:jc w:val="start"/>
        <w:tblInd w:w="1440" w:type="dxa"/>
        <w:tblLayout w:type="fixed"/>
        <w:tblCellMar>
          <w:top w:w="0" w:type="dxa"/>
          <w:start w:w="108" w:type="dxa"/>
          <w:bottom w:w="0" w:type="dxa"/>
          <w:end w:w="108" w:type="dxa"/>
        </w:tblCellMar>
      </w:tblPr>
      <w:tblGrid>
        <w:gridCol w:w="720"/>
        <w:gridCol w:w="5868"/>
      </w:tblGrid>
      <w:tr>
        <w:trPr/>
        <w:tc>
          <w:tcPr>
            <w:tcW w:w="720" w:type="dxa"/>
            <w:tcBorders/>
          </w:tcPr>
          <w:p>
            <w:pPr>
              <w:pStyle w:val="Re"/>
              <w:spacing w:before="480" w:after="0"/>
              <w:jc w:val="start"/>
              <w:rPr/>
            </w:pPr>
            <w:r>
              <w:rPr/>
              <w:t>Re:</w:t>
            </w:r>
          </w:p>
        </w:tc>
        <w:tc>
          <w:tcPr>
            <w:tcW w:w="5868" w:type="dxa"/>
            <w:tcBorders/>
          </w:tcPr>
          <w:p>
            <w:pPr>
              <w:pStyle w:val="Re"/>
              <w:spacing w:before="480" w:after="0"/>
              <w:jc w:val="start"/>
              <w:rPr/>
            </w:pPr>
            <w:bookmarkStart w:id="2" w:name="Subject"/>
            <w:bookmarkEnd w:id="2"/>
            <w:r>
              <w:rPr/>
              <w:t>Revenue Requirement and Power Purchase Costs Pursuant to Water Code Section 80110 and Public Utilities Code Section 451</w:t>
            </w:r>
          </w:p>
        </w:tc>
      </w:tr>
    </w:tbl>
    <w:p>
      <w:pPr>
        <w:pStyle w:val="Salutation"/>
        <w:rPr/>
      </w:pPr>
      <w:bookmarkStart w:id="3" w:name="Salutation"/>
      <w:bookmarkEnd w:id="3"/>
      <w:r>
        <w:rPr/>
        <w:t>Dear Mr. Hannigan:</w:t>
      </w:r>
    </w:p>
    <w:p>
      <w:pPr>
        <w:pStyle w:val="LetterText"/>
        <w:rPr/>
      </w:pPr>
      <w:bookmarkStart w:id="4" w:name="Start"/>
      <w:bookmarkEnd w:id="4"/>
      <w:r>
        <w:rPr/>
        <w:t>Southern California Edison Company (SCE) has preliminarily reviewed the revised revenue requirement the Department of Water Resources’ California Energy Resources Scheduling group (CERS) sent to the California Public Utilities Commission (Commission) on July 23, 2001.  In order to conduct a thorough and adequate review, advise the investment community of its impact, and clarify the basis for the proposed cost allocations of the revenue requirement between the individual Investor</w:t>
        <w:noBreakHyphen/>
        <w:t>Owned Utilities (IOUs), we request that CERS address the following questions/concerns.  If possible, we would appreciate discussing these matters with you at the technical workshop scheduled for tomorrow.  In some cases, the following questions/concerns are inter</w:t>
        <w:noBreakHyphen/>
        <w:t xml:space="preserve">related and therefore may overlap.  </w:t>
      </w:r>
    </w:p>
    <w:p>
      <w:pPr>
        <w:pStyle w:val="LetterText"/>
        <w:ind w:hanging="0" w:end="0"/>
        <w:jc w:val="center"/>
        <w:rPr>
          <w:b/>
        </w:rPr>
      </w:pPr>
      <w:r>
        <w:rPr>
          <w:b/>
        </w:rPr>
        <w:t>Regulatory Accounting</w:t>
      </w:r>
    </w:p>
    <w:p>
      <w:pPr>
        <w:pStyle w:val="ListBullet"/>
        <w:numPr>
          <w:ilvl w:val="0"/>
          <w:numId w:val="2"/>
        </w:numPr>
        <w:ind w:hanging="0" w:start="0"/>
        <w:rPr/>
      </w:pPr>
      <w:r>
        <w:rPr/>
        <w:t>Explain why the allocation of CERS’ revenue requirement among the utilities, as presented in Table A, results in a significant difference in cost allocation on a dollars per megawatt-hours (MWh) basis, $108/MWh for Pacific Gas and Electric Company (PG&amp;E), $118/MWh for SCE, and $95/MWh for San Diego Gas &amp; Electric Company (SDG&amp;E).</w:t>
      </w:r>
    </w:p>
    <w:p>
      <w:pPr>
        <w:pStyle w:val="ListBullet"/>
        <w:numPr>
          <w:ilvl w:val="0"/>
          <w:numId w:val="2"/>
        </w:numPr>
        <w:ind w:hanging="0" w:start="0"/>
        <w:rPr/>
      </w:pPr>
      <w:r>
        <w:rPr/>
        <w:t>When making this allocation, did CERS take into account anticipated SCE revenue requirement changes (both generation-related and non-generation-related) and did CERS take into account SCE’s estimated revenue requirement associated with its past net undercollection?</w:t>
      </w:r>
    </w:p>
    <w:p>
      <w:pPr>
        <w:pStyle w:val="ListBullet"/>
        <w:numPr>
          <w:ilvl w:val="0"/>
          <w:numId w:val="2"/>
        </w:numPr>
        <w:ind w:hanging="0" w:start="0"/>
        <w:rPr/>
      </w:pPr>
      <w:r>
        <w:rPr/>
        <w:t>CERS estimates SCE’s net short from January 17, 2001 through December 31, 2002 to be 49,083 GWhs.  Please provide a supporting schedule on a monthly basis depicting how this amount was derived.  For example, provide information on kWh metered sales and direct access penetration assumptions as well as URG estimated generation.</w:t>
      </w:r>
    </w:p>
    <w:p>
      <w:pPr>
        <w:pStyle w:val="ListBullet"/>
        <w:numPr>
          <w:ilvl w:val="0"/>
          <w:numId w:val="2"/>
        </w:numPr>
        <w:ind w:hanging="0" w:start="0"/>
        <w:rPr/>
      </w:pPr>
      <w:r>
        <w:rPr/>
        <w:t>Do the Customer Revenue Recovery amounts shown in Table A-2 for SCE represent the amount and timing of payments that CERS is requesting?  For example, in the second quarter of 2002, would SCE need to make payments to CERS in the amount of $1.001 billion?</w:t>
      </w:r>
    </w:p>
    <w:p>
      <w:pPr>
        <w:pStyle w:val="ListBullet"/>
        <w:numPr>
          <w:ilvl w:val="0"/>
          <w:numId w:val="2"/>
        </w:numPr>
        <w:ind w:hanging="0" w:start="0"/>
        <w:rPr/>
      </w:pPr>
      <w:r>
        <w:rPr/>
        <w:t>How does CERS propose to address variations in retail sales from the forecast used to establish recovery of CERS revenue requirement?  For example, if retail sales for one IOU are lower than forecast, such that CERS’ revenues from that IOU’s customers are less than CERS’ revenue requirement for that IOU’s customers, will CERS’ book an under-collection and seek to increase its revenue requirement at a later date to recover the deficiency from that IOUs’ customers?  If so, what interest rate will be applied to any such under-collection?  Will a deficiency in cost recovery from one IOU’s customers be recovered in part from another IOU’s customers?</w:t>
      </w:r>
    </w:p>
    <w:p>
      <w:pPr>
        <w:pStyle w:val="ListBullet"/>
        <w:numPr>
          <w:ilvl w:val="0"/>
          <w:numId w:val="2"/>
        </w:numPr>
        <w:ind w:hanging="0" w:start="0"/>
        <w:rPr/>
      </w:pPr>
      <w:r>
        <w:rPr/>
        <w:t>How does CERS propose to address variations in its power costs from the forecast used to establish its revenue requirement?  For example, if CERS’ power costs increase relative to its forecast, will CERS book an under-collection for the customers of the affected IOU and will it seek to increase its revenue requirement at a later date to recover the deficiency from that IOUs’ customers?  If so, what interest rate will be applied to any such under-collection?  Will a deficiency in cost recovery from one IOU’s customers be recovered in part from another IOU’s customers?</w:t>
      </w:r>
    </w:p>
    <w:p>
      <w:pPr>
        <w:pStyle w:val="ListBullet"/>
        <w:numPr>
          <w:ilvl w:val="0"/>
          <w:numId w:val="2"/>
        </w:numPr>
        <w:ind w:hanging="0" w:start="0"/>
        <w:rPr/>
      </w:pPr>
      <w:r>
        <w:rPr/>
        <w:t>Explain the assumptions underlying the calculation of the ancillary services expenditures shown in Table A-3.  Are there additional ancillary services expenses that are not included in Table A-3 and would be payable by SCE?  If so, identify the types and amounts of charges.</w:t>
      </w:r>
    </w:p>
    <w:p>
      <w:pPr>
        <w:pStyle w:val="ListBullet"/>
        <w:numPr>
          <w:ilvl w:val="0"/>
          <w:numId w:val="2"/>
        </w:numPr>
        <w:ind w:hanging="0" w:start="0"/>
        <w:rPr/>
      </w:pPr>
      <w:r>
        <w:rPr/>
        <w:t>What assumptions has CERS made in respect to ISO imbalance energy transactions for Scheduling Coordinators other than the IOUs?  For example, if CERS purchases energy in the imbalance market due to a deviation from the schedule of a Scheduling Coordinator other than an IOU, has CERS assumed recovery of the cost of that purchase from the Scheduling Coordinator having the deviation, or has CERS included such cost in its revenue requirement for the IOUs’ customers?</w:t>
      </w:r>
    </w:p>
    <w:p>
      <w:pPr>
        <w:pStyle w:val="ListBullet"/>
        <w:numPr>
          <w:ilvl w:val="0"/>
          <w:numId w:val="2"/>
        </w:numPr>
        <w:ind w:hanging="0" w:start="0"/>
        <w:rPr/>
      </w:pPr>
      <w:r>
        <w:rPr/>
        <w:t>Does the revenue requirement account for franchise fee and uncollectible expenses?</w:t>
      </w:r>
    </w:p>
    <w:p>
      <w:pPr>
        <w:pStyle w:val="LetterText"/>
        <w:ind w:hanging="0" w:end="0"/>
        <w:jc w:val="center"/>
        <w:rPr>
          <w:b/>
        </w:rPr>
      </w:pPr>
      <w:r>
        <w:rPr>
          <w:b/>
        </w:rPr>
        <w:t>Procurement and Cost Allocation</w:t>
      </w:r>
    </w:p>
    <w:p>
      <w:pPr>
        <w:pStyle w:val="ListBullet"/>
        <w:numPr>
          <w:ilvl w:val="0"/>
          <w:numId w:val="2"/>
        </w:numPr>
        <w:ind w:hanging="0" w:start="0"/>
        <w:rPr/>
      </w:pPr>
      <w:r>
        <w:rPr/>
        <w:t xml:space="preserve">Table A, </w:t>
      </w:r>
      <w:r>
        <w:rPr>
          <w:i/>
        </w:rPr>
        <w:t>CERS Revenue Recovery by Service Area</w:t>
      </w:r>
      <w:r>
        <w:rPr/>
        <w:t>, reflects an average revenue recovery of $108.11/MWh from PG&amp;E, $118.23/MWh from SCE, and $95.13/MWh from SDG&amp;E.  Given that CERS has indicated that the “cost of energy purchased by the Department are allocated to the customers of each of the [IOUs] on a uniform cost per MWh of net short energy purchased by the Department,” SCE is unable to reconcile the significant differences between the requested revenue recoveries from the three IOUs.  Accordingly, SCE requests the following information for the period July 1, 2001, through December 31, 2002, utilized by CERS to develop its revenue requirement showing (preferably with and without distribution line losses where applicable):</w:t>
      </w:r>
    </w:p>
    <w:p>
      <w:pPr>
        <w:pStyle w:val="Normal"/>
        <w:numPr>
          <w:ilvl w:val="0"/>
          <w:numId w:val="5"/>
        </w:numPr>
        <w:tabs>
          <w:tab w:val="clear" w:pos="720"/>
        </w:tabs>
        <w:spacing w:before="120" w:after="0"/>
        <w:ind w:hanging="360" w:start="1080" w:end="0"/>
        <w:rPr/>
      </w:pPr>
      <w:r>
        <w:rPr/>
        <w:t>Total IOU bundled retail demand on an hourly basis;</w:t>
      </w:r>
    </w:p>
    <w:p>
      <w:pPr>
        <w:pStyle w:val="Normal"/>
        <w:numPr>
          <w:ilvl w:val="0"/>
          <w:numId w:val="5"/>
        </w:numPr>
        <w:tabs>
          <w:tab w:val="clear" w:pos="720"/>
        </w:tabs>
        <w:spacing w:before="120" w:after="0"/>
        <w:ind w:hanging="360" w:start="1080" w:end="0"/>
        <w:rPr/>
      </w:pPr>
      <w:r>
        <w:rPr/>
        <w:t>Total SCE bundled retail demand on an hourly basis;</w:t>
      </w:r>
    </w:p>
    <w:p>
      <w:pPr>
        <w:pStyle w:val="Normal"/>
        <w:numPr>
          <w:ilvl w:val="0"/>
          <w:numId w:val="5"/>
        </w:numPr>
        <w:tabs>
          <w:tab w:val="clear" w:pos="720"/>
        </w:tabs>
        <w:spacing w:before="120" w:after="0"/>
        <w:ind w:hanging="360" w:start="1080" w:end="0"/>
        <w:rPr/>
      </w:pPr>
      <w:r>
        <w:rPr/>
        <w:t>Total IOU supply on an hourly basis;</w:t>
      </w:r>
    </w:p>
    <w:p>
      <w:pPr>
        <w:pStyle w:val="Normal"/>
        <w:numPr>
          <w:ilvl w:val="0"/>
          <w:numId w:val="5"/>
        </w:numPr>
        <w:tabs>
          <w:tab w:val="clear" w:pos="720"/>
        </w:tabs>
        <w:spacing w:before="120" w:after="0"/>
        <w:ind w:hanging="360" w:start="1080" w:end="0"/>
        <w:rPr/>
      </w:pPr>
      <w:r>
        <w:rPr/>
        <w:t>Total SCE supply (broken down by the category of generating resource) on an hourly basis;</w:t>
      </w:r>
    </w:p>
    <w:p>
      <w:pPr>
        <w:pStyle w:val="Normal"/>
        <w:numPr>
          <w:ilvl w:val="0"/>
          <w:numId w:val="5"/>
        </w:numPr>
        <w:tabs>
          <w:tab w:val="clear" w:pos="720"/>
        </w:tabs>
        <w:spacing w:before="120" w:after="0"/>
        <w:ind w:hanging="360" w:start="1080" w:end="0"/>
        <w:rPr/>
      </w:pPr>
      <w:r>
        <w:rPr/>
        <w:t>Total CERS’ Contract supply on an hourly basis;</w:t>
      </w:r>
    </w:p>
    <w:p>
      <w:pPr>
        <w:pStyle w:val="Normal"/>
        <w:numPr>
          <w:ilvl w:val="0"/>
          <w:numId w:val="5"/>
        </w:numPr>
        <w:tabs>
          <w:tab w:val="clear" w:pos="720"/>
        </w:tabs>
        <w:spacing w:before="120" w:after="0"/>
        <w:ind w:hanging="360" w:start="1080" w:end="0"/>
        <w:rPr/>
      </w:pPr>
      <w:r>
        <w:rPr/>
        <w:t>Total CERS’ Contract supply allocated to SCE on an hourly basis;</w:t>
      </w:r>
    </w:p>
    <w:p>
      <w:pPr>
        <w:pStyle w:val="Normal"/>
        <w:numPr>
          <w:ilvl w:val="0"/>
          <w:numId w:val="5"/>
        </w:numPr>
        <w:tabs>
          <w:tab w:val="clear" w:pos="720"/>
        </w:tabs>
        <w:spacing w:before="120" w:after="0"/>
        <w:ind w:hanging="360" w:start="1080" w:end="0"/>
        <w:rPr/>
      </w:pPr>
      <w:r>
        <w:rPr/>
        <w:t>Total residual net-short/net-long position for the combined IOU service areas on an hourly basis;</w:t>
      </w:r>
    </w:p>
    <w:p>
      <w:pPr>
        <w:pStyle w:val="Normal"/>
        <w:numPr>
          <w:ilvl w:val="0"/>
          <w:numId w:val="5"/>
        </w:numPr>
        <w:tabs>
          <w:tab w:val="clear" w:pos="720"/>
        </w:tabs>
        <w:spacing w:before="120" w:after="0"/>
        <w:ind w:hanging="360" w:start="1080" w:end="0"/>
        <w:rPr/>
      </w:pPr>
      <w:r>
        <w:rPr/>
        <w:t>Total residual net-short/net-long position for SCE’s service area on an hourly basis;</w:t>
      </w:r>
    </w:p>
    <w:p>
      <w:pPr>
        <w:pStyle w:val="Normal"/>
        <w:numPr>
          <w:ilvl w:val="0"/>
          <w:numId w:val="5"/>
        </w:numPr>
        <w:tabs>
          <w:tab w:val="clear" w:pos="720"/>
        </w:tabs>
        <w:spacing w:before="120" w:after="0"/>
        <w:ind w:hanging="360" w:start="1080" w:end="0"/>
        <w:rPr/>
      </w:pPr>
      <w:r>
        <w:rPr/>
        <w:t>For all residual net-long hourly assumptions, please provide associated assumed sales by CERS to the market;</w:t>
      </w:r>
    </w:p>
    <w:p>
      <w:pPr>
        <w:pStyle w:val="Normal"/>
        <w:numPr>
          <w:ilvl w:val="0"/>
          <w:numId w:val="5"/>
        </w:numPr>
        <w:tabs>
          <w:tab w:val="clear" w:pos="720"/>
        </w:tabs>
        <w:spacing w:before="120" w:after="0"/>
        <w:ind w:hanging="360" w:start="1080" w:end="0"/>
        <w:rPr/>
      </w:pPr>
      <w:r>
        <w:rPr/>
        <w:t>Average CERS’ Contract supply cost ($/MWh) for total Contract supply on an hourly basis;</w:t>
      </w:r>
    </w:p>
    <w:p>
      <w:pPr>
        <w:pStyle w:val="Normal"/>
        <w:numPr>
          <w:ilvl w:val="0"/>
          <w:numId w:val="5"/>
        </w:numPr>
        <w:tabs>
          <w:tab w:val="clear" w:pos="720"/>
        </w:tabs>
        <w:spacing w:before="120" w:after="0"/>
        <w:ind w:hanging="360" w:start="1080" w:end="0"/>
        <w:rPr/>
      </w:pPr>
      <w:r>
        <w:rPr/>
        <w:t>Average CERS’ Contract supply cost ($/MWh) for each IOU on an hourly basis;</w:t>
      </w:r>
    </w:p>
    <w:p>
      <w:pPr>
        <w:pStyle w:val="Normal"/>
        <w:numPr>
          <w:ilvl w:val="0"/>
          <w:numId w:val="5"/>
        </w:numPr>
        <w:tabs>
          <w:tab w:val="clear" w:pos="720"/>
        </w:tabs>
        <w:spacing w:before="120" w:after="0"/>
        <w:ind w:hanging="360" w:start="1080" w:end="0"/>
        <w:rPr/>
      </w:pPr>
      <w:r>
        <w:rPr/>
        <w:t>Average spot market price ($/MWh) for NP-15 and SP-15 (separately for SCE and SDG&amp;E if different) on an hourly basis;</w:t>
      </w:r>
    </w:p>
    <w:p>
      <w:pPr>
        <w:pStyle w:val="Normal"/>
        <w:numPr>
          <w:ilvl w:val="0"/>
          <w:numId w:val="5"/>
        </w:numPr>
        <w:tabs>
          <w:tab w:val="clear" w:pos="720"/>
        </w:tabs>
        <w:spacing w:before="120" w:after="0"/>
        <w:ind w:hanging="360" w:start="1080" w:end="0"/>
        <w:rPr/>
      </w:pPr>
      <w:r>
        <w:rPr/>
        <w:t>Assumed FERC “soft” price cap pursuant to June 19</w:t>
      </w:r>
      <w:r>
        <w:rPr>
          <w:vertAlign w:val="superscript"/>
        </w:rPr>
        <w:t>th</w:t>
      </w:r>
      <w:r>
        <w:rPr/>
        <w:t xml:space="preserve"> price mitigation order and derivation of said price cap;</w:t>
      </w:r>
    </w:p>
    <w:p>
      <w:pPr>
        <w:pStyle w:val="Normal"/>
        <w:numPr>
          <w:ilvl w:val="0"/>
          <w:numId w:val="5"/>
        </w:numPr>
        <w:tabs>
          <w:tab w:val="clear" w:pos="720"/>
        </w:tabs>
        <w:spacing w:before="120" w:after="0"/>
        <w:ind w:hanging="360" w:start="1080" w:end="0"/>
        <w:rPr/>
      </w:pPr>
      <w:r>
        <w:rPr/>
        <w:t>Total ancillary services cost associated with total IOU bundled retail demand on an hourly basis;</w:t>
      </w:r>
    </w:p>
    <w:p>
      <w:pPr>
        <w:pStyle w:val="Normal"/>
        <w:numPr>
          <w:ilvl w:val="0"/>
          <w:numId w:val="5"/>
        </w:numPr>
        <w:tabs>
          <w:tab w:val="clear" w:pos="720"/>
        </w:tabs>
        <w:spacing w:before="120" w:after="0"/>
        <w:ind w:hanging="360" w:start="1080" w:end="0"/>
        <w:rPr/>
      </w:pPr>
      <w:r>
        <w:rPr/>
        <w:t>Total ancillary services costs associated with total SCE bundled retail demand on an hourly basis;</w:t>
      </w:r>
    </w:p>
    <w:p>
      <w:pPr>
        <w:pStyle w:val="Normal"/>
        <w:numPr>
          <w:ilvl w:val="0"/>
          <w:numId w:val="5"/>
        </w:numPr>
        <w:tabs>
          <w:tab w:val="clear" w:pos="720"/>
        </w:tabs>
        <w:spacing w:before="120" w:after="0"/>
        <w:ind w:hanging="360" w:start="1080" w:end="0"/>
        <w:rPr/>
      </w:pPr>
      <w:r>
        <w:rPr/>
        <w:t>Total level of self-provision of ancillary services by the IOUs on an hourly basis;</w:t>
      </w:r>
    </w:p>
    <w:p>
      <w:pPr>
        <w:pStyle w:val="Normal"/>
        <w:numPr>
          <w:ilvl w:val="0"/>
          <w:numId w:val="5"/>
        </w:numPr>
        <w:tabs>
          <w:tab w:val="clear" w:pos="720"/>
        </w:tabs>
        <w:spacing w:before="120" w:after="0"/>
        <w:ind w:hanging="360" w:start="1080" w:end="0"/>
        <w:rPr/>
      </w:pPr>
      <w:r>
        <w:rPr/>
        <w:t>Total level of self-provision of ancillary services by SCE on an hourly basis; and</w:t>
      </w:r>
    </w:p>
    <w:p>
      <w:pPr>
        <w:pStyle w:val="Normal"/>
        <w:numPr>
          <w:ilvl w:val="0"/>
          <w:numId w:val="5"/>
        </w:numPr>
        <w:tabs>
          <w:tab w:val="clear" w:pos="720"/>
        </w:tabs>
        <w:spacing w:before="120" w:after="0"/>
        <w:ind w:hanging="360" w:start="1080" w:end="0"/>
        <w:rPr/>
      </w:pPr>
      <w:r>
        <w:rPr/>
        <w:t xml:space="preserve">Monthly forecast of gas prices at Topock, Malin, and the PG&amp;E City Gate (provide a daily forecast if available).  </w:t>
      </w:r>
    </w:p>
    <w:p>
      <w:pPr>
        <w:pStyle w:val="ListBullet"/>
        <w:numPr>
          <w:ilvl w:val="0"/>
          <w:numId w:val="2"/>
        </w:numPr>
        <w:ind w:hanging="0" w:start="0"/>
        <w:rPr/>
      </w:pPr>
      <w:r>
        <w:rPr/>
        <w:t xml:space="preserve">Exhibit A, </w:t>
      </w:r>
      <w:r>
        <w:rPr>
          <w:i/>
        </w:rPr>
        <w:t>Department of Water Resources Net Short Energy Revenue Requirement</w:t>
      </w:r>
      <w:r>
        <w:rPr/>
        <w:t xml:space="preserve">, states that the “bond proceeds are applied in a manner to supplement revenue from the customers to the Department such that the net revenue requirement falls within the retail rate adjustments adopted by the Public Utilities Commission for PG&amp;E and SCE, and assumes a comparable rate adjustment for SDG&amp;E.”  Does this mean that the proposed customer revenue recovery amounts for each IOU summarized in Table A, </w:t>
      </w:r>
      <w:r>
        <w:rPr>
          <w:i/>
        </w:rPr>
        <w:t>CERS Revenue Recovery by Service Area</w:t>
      </w:r>
      <w:r>
        <w:rPr/>
        <w:t>, were calculated on the basis of each IOU’s ability to pay without an additional rate increase (exception noted for SDG&amp;E), as opposed to a “cost-based” allocation?  If correct, is it CERS’ position that a “balancing account” be maintained to track each IOU’s liabilities and payments to enable subsequent true-ups to maintain a cost-based allocation for the life of CERS’ revenue requirement?</w:t>
      </w:r>
    </w:p>
    <w:p>
      <w:pPr>
        <w:pStyle w:val="ListBullet"/>
        <w:numPr>
          <w:ilvl w:val="0"/>
          <w:numId w:val="2"/>
        </w:numPr>
        <w:ind w:hanging="0" w:start="0"/>
        <w:rPr/>
      </w:pPr>
      <w:r>
        <w:rPr/>
        <w:t xml:space="preserve">Table A-2, </w:t>
      </w:r>
      <w:r>
        <w:rPr>
          <w:i/>
        </w:rPr>
        <w:t>CERS Revenue Recovery by Service Area</w:t>
      </w:r>
      <w:r>
        <w:rPr/>
        <w:t xml:space="preserve">, provides the assumed retail sales made by CERS to each IOU on a quarterly basis.  Please explain the reduction in Q2 ‘01 sales to PG&amp;E of 8,723 GWh to Q3 ‘01 sales to PG&amp;E of 5,244 GWh.  By contrast, please explain why the sales forecasts for SCE and SDG&amp;E for the same periods are relatively unchanged.  </w:t>
      </w:r>
    </w:p>
    <w:p>
      <w:pPr>
        <w:pStyle w:val="ListBullet"/>
        <w:numPr>
          <w:ilvl w:val="0"/>
          <w:numId w:val="2"/>
        </w:numPr>
        <w:ind w:hanging="0" w:start="0"/>
        <w:rPr/>
      </w:pPr>
      <w:r>
        <w:rPr/>
        <w:t xml:space="preserve">Tables A-4, A-5, and A-6 reflect CERS’ expenditure summary projections for PG&amp;E, SCE, and SDG&amp;E, respectively.  In previous meetings, CERS indicated Contract energy would be allocated prorata among the IOUs based on each IOU’s net-short position, and that a “postage stamp” cost allocation would be proposed to the CPUC for such costs.  Please explain the difference between the average Contract costs of PG&amp;E and SCE, $81.33/MWh and $81.35/MWh respectively, and the $79.02/MWh average Contract cost for SDG&amp;E.  SDG&amp;E’s lower average Contract cost is not consistent with a “postage stamp” cost allocation.  Additionally, the projected Total Operating Expenditures for each utility yields an average cost of $180.63/MWh for PG&amp;E, $179.58/MWh for SCE, and $172.49/MWh for SDG&amp;E.  Please reconcile these amounts with the requested revenue recovery amounts from each IOU in Table A, which has SCE paying a much higher average amount than PG&amp;E and SDG&amp;E, as further described in Question 11 above.  Finally, please clarify if SCE’s characterization of CERS’ proposed Contract energy and cost allocation is inaccurate. </w:t>
      </w:r>
    </w:p>
    <w:p>
      <w:pPr>
        <w:pStyle w:val="ListBullet"/>
        <w:numPr>
          <w:ilvl w:val="0"/>
          <w:numId w:val="2"/>
        </w:numPr>
        <w:ind w:hanging="0" w:start="0"/>
        <w:rPr/>
      </w:pPr>
      <w:r>
        <w:rPr/>
        <w:t xml:space="preserve">Exhibit C, </w:t>
      </w:r>
      <w:r>
        <w:rPr>
          <w:i/>
        </w:rPr>
        <w:t>Breakdown of CERS Revenue Requirements in Accordance with the Proposed Rate Agreement Cost Categories</w:t>
      </w:r>
      <w:r>
        <w:rPr/>
        <w:t>, states that the discussion of ancillary services is contained in Exhibit A.  Exhibit A only provides CERS’ projected ancillary services costs for each IOU, but does not describe how the forecast was developed.  At page 6 of the Blackstone Group-Saber Partners July 23</w:t>
      </w:r>
      <w:r>
        <w:rPr>
          <w:vertAlign w:val="superscript"/>
        </w:rPr>
        <w:t>rd,</w:t>
      </w:r>
      <w:r>
        <w:rPr/>
        <w:t xml:space="preserve"> </w:t>
      </w:r>
      <w:r>
        <w:rPr>
          <w:i/>
        </w:rPr>
        <w:t>Update to: Supplemental Financial Information Booklet (Tab A)</w:t>
      </w:r>
      <w:r>
        <w:rPr/>
        <w:t>, it is stated that the “volume of ancillary services needed by each IOU was developed assuming that the CAISO would require, on average across all services, an amount equal to 6 percent of the total energy demand of the IOUs.”  This assumption is inconsistent with the ISO’s current requirement to maintain 7% operating reserves (SCE also notes that the ISO is currently evaluating whether it should also maintain reserves in an amount equal to its single largest contingency).  The procurement of regulation reserves and, at times, replacement reserves, can easily increase the amount of ancillary services capacity required by the ISO to be in excess of 10% of the total load.  Additionally, in previous discussions with CERS, it was indicated that CERS was originally assuming a total ancillary services cost obligation associated with the net-short positions of PG&amp;E and SCE and all of SDG&amp;E’s load of approximately $500 million.  Further, the $500 million assumption was supposedly based on an assumption that ancillary services would cost approximately 5% of the cost of load being served.  In our most recent discussions, CERS indicated that it had increased its ancillary services cost projections to reflect the cost of serving all IOU bundled retail load, and that such cost would be approximately 6% of the cost of load.  A simple extrapolation from the original $500 million/5% assumption, assuming that the $500 million covered approximately one-third of the total ancillary services requirements, would yield an approximate total annual ancillary services cost of $1.8 billion.  This is significantly higher than what CERS currently reflects in its revenue requirement.  SCE requests further explanation and any associated workpapers that develop the ancillary services forecast for SCE.</w:t>
      </w:r>
    </w:p>
    <w:p>
      <w:pPr>
        <w:pStyle w:val="ListBullet"/>
        <w:numPr>
          <w:ilvl w:val="0"/>
          <w:numId w:val="2"/>
        </w:numPr>
        <w:ind w:hanging="0" w:start="0"/>
        <w:rPr/>
      </w:pPr>
      <w:r>
        <w:rPr/>
        <w:t xml:space="preserve">Please identity the types of ISO-related charges (e.g., Grid Management Charge (“GMC”), Neutrality, Unaccounted For Energy, and Congestion) that CERS has assumed responsibility to pay, including the amount of such obligations.  To the extent that CERS has assumed that SCE is responsible for some or all ISO-related charges, please describe in detail such assumptions, including the basis for allocating such costs to SCE. </w:t>
      </w:r>
    </w:p>
    <w:p>
      <w:pPr>
        <w:pStyle w:val="ListBullet"/>
        <w:numPr>
          <w:ilvl w:val="0"/>
          <w:numId w:val="2"/>
        </w:numPr>
        <w:ind w:hanging="0" w:start="0"/>
        <w:rPr/>
      </w:pPr>
      <w:r>
        <w:rPr/>
        <w:t>Please explain why CERS’ revenue requirement indicates no ancillary services costs in Q1 and Q2 of 2001.</w:t>
      </w:r>
    </w:p>
    <w:p>
      <w:pPr>
        <w:pStyle w:val="ListBullet"/>
        <w:numPr>
          <w:ilvl w:val="0"/>
          <w:numId w:val="2"/>
        </w:numPr>
        <w:ind w:hanging="0" w:start="0"/>
        <w:rPr/>
      </w:pPr>
      <w:r>
        <w:rPr/>
        <w:t xml:space="preserve">At page 3 of Navigant Consulting/Montague DeRose’s </w:t>
      </w:r>
      <w:r>
        <w:rPr>
          <w:i/>
        </w:rPr>
        <w:t>Update to Methods and Assumptions for Estimating the Requirement for Net Short Energy Purchases (Tab B)</w:t>
      </w:r>
      <w:r>
        <w:rPr/>
        <w:t xml:space="preserve">, Figure 1 illustrates the projected CERS contracts and Residual Net Short.  Please explain why the residual net-short has increased significantly over the previously projected net-short amounts in CERS’ </w:t>
      </w:r>
      <w:r>
        <w:rPr>
          <w:i/>
        </w:rPr>
        <w:t>Update of CCERS Power Purchase Contract Efforts</w:t>
      </w:r>
      <w:r>
        <w:rPr/>
        <w:t xml:space="preserve"> report, dated May 31, 2001 (see pages 11 and 33).</w:t>
      </w:r>
    </w:p>
    <w:p>
      <w:pPr>
        <w:pStyle w:val="ListBullet"/>
        <w:numPr>
          <w:ilvl w:val="0"/>
          <w:numId w:val="2"/>
        </w:numPr>
        <w:ind w:hanging="0" w:start="0"/>
        <w:rPr/>
      </w:pPr>
      <w:r>
        <w:rPr/>
        <w:t>SCE notes that the May 31</w:t>
      </w:r>
      <w:r>
        <w:rPr>
          <w:vertAlign w:val="superscript"/>
        </w:rPr>
        <w:t>st</w:t>
      </w:r>
      <w:r>
        <w:rPr/>
        <w:t xml:space="preserve"> report identified above reflected 38 executed contracts and 23 agreements-in-principle, as compared to the July 23</w:t>
      </w:r>
      <w:r>
        <w:rPr>
          <w:vertAlign w:val="superscript"/>
        </w:rPr>
        <w:t>rd</w:t>
      </w:r>
      <w:r>
        <w:rPr/>
        <w:t xml:space="preserve"> report, also referenced above, which reflects 40 executed contracts and 18 agreements-in-principle.  Please identify the 40 executed contracts and please provide the key commercial and dispatch contracts’ terms of the 18 agreements-in-principle.  SCE recognizes that the agreements-in-principle may still be considered confidential information, therefore, please aggregate information to the extent that it will facilitate disclosure to SCE. </w:t>
      </w:r>
    </w:p>
    <w:p>
      <w:pPr>
        <w:pStyle w:val="ListBullet"/>
        <w:numPr>
          <w:ilvl w:val="0"/>
          <w:numId w:val="2"/>
        </w:numPr>
        <w:ind w:hanging="0" w:start="0"/>
        <w:rPr/>
      </w:pPr>
      <w:r>
        <w:rPr/>
        <w:t>Please provide the forecast of congestion charges incurred by CERS in delivering power obtained under its contracts in one ISO zone to the customers of an IOU located in a different ISO zone.  Please provide the assumptions used in developing this forecast.</w:t>
      </w:r>
    </w:p>
    <w:p>
      <w:pPr>
        <w:pStyle w:val="ListBullet"/>
        <w:numPr>
          <w:ilvl w:val="0"/>
          <w:numId w:val="2"/>
        </w:numPr>
        <w:ind w:hanging="0" w:start="0"/>
        <w:rPr/>
      </w:pPr>
      <w:r>
        <w:rPr/>
        <w:t xml:space="preserve">SCE notes that the gas price forecast assumptions embedded in the revenue requirement filing are significantly higher than the current market.  This issue has been discussed with CERS on numerous occasions, and SCE does not offer additional comments at this time. </w:t>
      </w:r>
    </w:p>
    <w:p>
      <w:pPr>
        <w:pStyle w:val="LetterText"/>
        <w:ind w:hanging="0" w:end="0"/>
        <w:jc w:val="center"/>
        <w:rPr>
          <w:b/>
        </w:rPr>
      </w:pPr>
      <w:r>
        <w:rPr>
          <w:b/>
        </w:rPr>
        <w:t>Bond Financing</w:t>
      </w:r>
    </w:p>
    <w:p>
      <w:pPr>
        <w:pStyle w:val="ListBullet"/>
        <w:numPr>
          <w:ilvl w:val="0"/>
          <w:numId w:val="2"/>
        </w:numPr>
        <w:ind w:hanging="0" w:start="0"/>
        <w:rPr/>
      </w:pPr>
      <w:r>
        <w:rPr/>
        <w:t>Explain and provide a supporting schedule depicting how the bond proceeds finance power purchases in 2000 and 2002, and how those purchases had been allocated among the utilities.</w:t>
      </w:r>
    </w:p>
    <w:p>
      <w:pPr>
        <w:pStyle w:val="ListBullet"/>
        <w:numPr>
          <w:ilvl w:val="0"/>
          <w:numId w:val="2"/>
        </w:numPr>
        <w:ind w:hanging="0" w:start="0"/>
        <w:rPr/>
      </w:pPr>
      <w:r>
        <w:rPr/>
        <w:t>Explain why such an allocation of the power purchases and purchase costs is appropriate and equitable for all IOU customers.</w:t>
      </w:r>
    </w:p>
    <w:p>
      <w:pPr>
        <w:pStyle w:val="ListBullet"/>
        <w:numPr>
          <w:ilvl w:val="0"/>
          <w:numId w:val="2"/>
        </w:numPr>
        <w:ind w:hanging="0" w:start="0"/>
        <w:rPr/>
      </w:pPr>
      <w:r>
        <w:rPr/>
        <w:t>Explain how the state bond financing principle and interest have been allocated among the utilities and the rationale for such allocation.</w:t>
      </w:r>
    </w:p>
    <w:p>
      <w:pPr>
        <w:pStyle w:val="ListBullet"/>
        <w:numPr>
          <w:ilvl w:val="0"/>
          <w:numId w:val="2"/>
        </w:numPr>
        <w:ind w:hanging="0" w:start="0"/>
        <w:rPr/>
      </w:pPr>
      <w:r>
        <w:rPr/>
        <w:t xml:space="preserve">Please provide an annual interest payment and principal amortization schedule for CERS’s proposed $12.4 billion financing.  </w:t>
      </w:r>
    </w:p>
    <w:p>
      <w:pPr>
        <w:pStyle w:val="ListBullet"/>
        <w:numPr>
          <w:ilvl w:val="0"/>
          <w:numId w:val="2"/>
        </w:numPr>
        <w:ind w:hanging="0" w:start="0"/>
        <w:rPr/>
      </w:pPr>
      <w:r>
        <w:rPr/>
        <w:t>What credit rating is CERS targeting for its bond financing?</w:t>
      </w:r>
    </w:p>
    <w:p>
      <w:pPr>
        <w:pStyle w:val="ListBullet"/>
        <w:numPr>
          <w:ilvl w:val="0"/>
          <w:numId w:val="2"/>
        </w:numPr>
        <w:ind w:hanging="0" w:start="0"/>
        <w:rPr/>
      </w:pPr>
      <w:r>
        <w:rPr/>
        <w:t>In Section A of your letter, you state that $12.5 billion of bonds will be issued, yielding $10.4 billion in proceeds.  $1.2 billion of reserve accounts are funded and that CERS will maintain $1.8 billion in minimum fund balances.  How can CERS reduce these reserve account balances without affecting the targeted credit rating?  Have you considered an automatic rate adjustment mechanism?</w:t>
      </w:r>
    </w:p>
    <w:p>
      <w:pPr>
        <w:pStyle w:val="ListBullet"/>
        <w:numPr>
          <w:ilvl w:val="0"/>
          <w:numId w:val="2"/>
        </w:numPr>
        <w:ind w:hanging="0" w:start="0"/>
        <w:rPr/>
      </w:pPr>
      <w:r>
        <w:rPr/>
        <w:t>During your July 23</w:t>
      </w:r>
      <w:r>
        <w:rPr>
          <w:vertAlign w:val="superscript"/>
        </w:rPr>
        <w:t>rd</w:t>
      </w:r>
      <w:r>
        <w:rPr/>
        <w:t xml:space="preserve"> conference call, it was said that rates are sufficient to provide for the IOU’s dedicated rate components.  Please provide all assumptions regarding the IOU’s dedicated rate components (for example, size of financing, interest rate, annual financing charges, reserve balances, etc.).</w:t>
      </w:r>
      <w:r>
        <w:br w:type="page"/>
      </w:r>
    </w:p>
    <w:p>
      <w:pPr>
        <w:pStyle w:val="LetterText"/>
        <w:ind w:hanging="0" w:end="0"/>
        <w:jc w:val="center"/>
        <w:rPr>
          <w:b/>
        </w:rPr>
      </w:pPr>
      <w:r>
        <w:rPr>
          <w:b/>
        </w:rPr>
        <w:t>Demand Reduction Programs</w:t>
      </w:r>
    </w:p>
    <w:p>
      <w:pPr>
        <w:pStyle w:val="ListBullet"/>
        <w:numPr>
          <w:ilvl w:val="0"/>
          <w:numId w:val="2"/>
        </w:numPr>
        <w:ind w:hanging="0" w:start="0"/>
        <w:rPr>
          <w:color w:val="000000"/>
        </w:rPr>
      </w:pPr>
      <w:r>
        <w:rPr>
          <w:color w:val="000000"/>
        </w:rPr>
        <w:t>Are the 20/20 Program kWh savings for 2002 incremental to the reductions in 2001 (i.e., do they result in 434 GWh of savings over the two-year period)?</w:t>
      </w:r>
    </w:p>
    <w:p>
      <w:pPr>
        <w:pStyle w:val="ListBullet"/>
        <w:numPr>
          <w:ilvl w:val="0"/>
          <w:numId w:val="2"/>
        </w:numPr>
        <w:ind w:hanging="0" w:start="0"/>
        <w:rPr>
          <w:color w:val="000000"/>
        </w:rPr>
      </w:pPr>
      <w:r>
        <w:rPr>
          <w:color w:val="000000"/>
        </w:rPr>
        <w:t>What are the underlying assumptions for the 217 GWh of conservation associated with the 20/20 Program?</w:t>
      </w:r>
    </w:p>
    <w:p>
      <w:pPr>
        <w:pStyle w:val="ListBullet"/>
        <w:numPr>
          <w:ilvl w:val="0"/>
          <w:numId w:val="2"/>
        </w:numPr>
        <w:ind w:hanging="0" w:start="0"/>
        <w:rPr>
          <w:color w:val="000000"/>
        </w:rPr>
      </w:pPr>
      <w:r>
        <w:rPr/>
        <w:t xml:space="preserve">Exhibit B, </w:t>
      </w:r>
      <w:r>
        <w:rPr>
          <w:i/>
        </w:rPr>
        <w:t>Department of Water Resources Conservation and Load Management Program Revenue Requirement Component</w:t>
      </w:r>
      <w:r>
        <w:rPr/>
        <w:t>, assumes 500 MW of Demand Bidding Program savings for June.  Si</w:t>
      </w:r>
      <w:r>
        <w:rPr>
          <w:color w:val="000000"/>
        </w:rPr>
        <w:t>nce the Demand Bidding Program did not start until July, why were these savings and costs included?  How were the June savings incorporated into the forecast and the revenue requirement?  How were the DRP program savings calculated given the uncertainty of new programs?</w:t>
      </w:r>
    </w:p>
    <w:p>
      <w:pPr>
        <w:pStyle w:val="ListBullet"/>
        <w:numPr>
          <w:ilvl w:val="0"/>
          <w:numId w:val="2"/>
        </w:numPr>
        <w:ind w:hanging="0" w:start="0"/>
        <w:rPr/>
      </w:pPr>
      <w:r>
        <w:rPr>
          <w:color w:val="000000"/>
        </w:rPr>
        <w:t>It appears as though CERS has assumed 4% for general conservation, 2% for price response, and then also deducted the programs savings, but this is not clearly presented.  Please provide annual summary tables separately for energy and peak demand (GWh and MW) showing Base Forecast, adjustments for conservation, price, and programs, and Final forecast, for the IOU total and for SCE.</w:t>
      </w:r>
    </w:p>
    <w:p>
      <w:pPr>
        <w:pStyle w:val="LetterText"/>
        <w:ind w:hanging="0" w:end="0"/>
        <w:jc w:val="center"/>
        <w:rPr>
          <w:b/>
        </w:rPr>
      </w:pPr>
      <w:r>
        <w:rPr>
          <w:b/>
        </w:rPr>
        <w:t>Other</w:t>
      </w:r>
    </w:p>
    <w:p>
      <w:pPr>
        <w:pStyle w:val="ListBullet"/>
        <w:numPr>
          <w:ilvl w:val="0"/>
          <w:numId w:val="2"/>
        </w:numPr>
        <w:ind w:hanging="0" w:start="0"/>
        <w:rPr/>
      </w:pPr>
      <w:r>
        <w:rPr/>
        <w:t xml:space="preserve">The Governor’s financial advisors have previously provided detailed information on his energy plan.  Will CERS be providing a more comprehensive showing of the IOU’s revenue requirements comparable to that provided for the Governor’s energy plan?  </w:t>
      </w:r>
    </w:p>
    <w:p>
      <w:pPr>
        <w:pStyle w:val="LetterText"/>
        <w:rPr/>
      </w:pPr>
      <w:r>
        <w:rPr/>
        <w:t xml:space="preserve">Again, I want to stress that these are SCE’s preliminary comments.  We are continuing to assess CERS’s revenue requirement and we may have additional </w:t>
      </w:r>
      <w:r>
        <w:br w:type="page"/>
      </w:r>
    </w:p>
    <w:p>
      <w:pPr>
        <w:pStyle w:val="LetterText"/>
        <w:ind w:hanging="0" w:end="0"/>
        <w:rPr/>
      </w:pPr>
      <w:r>
        <w:rPr/>
        <w:t xml:space="preserve">questions/concerns.  Thank you for your consideration in this matter.  We look forward to addressing these questions/concerns with you at the workshop.  </w:t>
      </w:r>
    </w:p>
    <w:p>
      <w:pPr>
        <w:pStyle w:val="Closing"/>
        <w:rPr/>
      </w:pPr>
      <w:bookmarkStart w:id="5" w:name="Closing"/>
      <w:bookmarkEnd w:id="5"/>
      <w:r>
        <w:rPr/>
        <w:t>Very truly yours,</w:t>
      </w:r>
    </w:p>
    <w:p>
      <w:pPr>
        <w:pStyle w:val="Closing"/>
        <w:rPr/>
      </w:pPr>
      <w:bookmarkStart w:id="6" w:name="AuthorName"/>
      <w:bookmarkEnd w:id="6"/>
      <w:r>
        <w:rPr/>
        <w:t>W. James Scilacci, Jr.</w:t>
      </w:r>
    </w:p>
    <w:p>
      <w:pPr>
        <w:pStyle w:val="Closing2"/>
        <w:spacing w:before="120" w:after="0"/>
        <w:rPr>
          <w:rFonts w:ascii="Century Schoolbook" w:hAnsi="Century Schoolbook" w:cs="Century Schoolbook"/>
          <w:sz w:val="14"/>
        </w:rPr>
      </w:pPr>
      <w:bookmarkStart w:id="7" w:name="AuthorInitials"/>
      <w:bookmarkEnd w:id="7"/>
      <w:r>
        <w:rPr>
          <w:rFonts w:cs="Century Schoolbook" w:ascii="Century Schoolbook" w:hAnsi="Century Schoolbook"/>
          <w:sz w:val="14"/>
        </w:rPr>
        <w:t>LJD:</w:t>
      </w:r>
      <w:bookmarkStart w:id="8" w:name="TypistInitials"/>
      <w:bookmarkEnd w:id="8"/>
      <w:r>
        <w:rPr>
          <w:rFonts w:cs="Century Schoolbook" w:ascii="Century Schoolbook" w:hAnsi="Century Schoolbook"/>
          <w:sz w:val="14"/>
        </w:rPr>
        <w:t>ljd:</w:t>
      </w:r>
      <w:r>
        <w:rPr>
          <w:rFonts w:cs="Century Schoolbook" w:ascii="Century Schoolbook" w:hAnsi="Century Schoolbook"/>
          <w:sz w:val="14"/>
        </w:rPr>
        <w:fldChar w:fldCharType="begin"/>
      </w:r>
      <w:r>
        <w:rPr>
          <w:sz w:val="14"/>
          <w:rFonts w:cs="Century Schoolbook" w:ascii="Century Schoolbook" w:hAnsi="Century Schoolbook"/>
        </w:rPr>
        <w:instrText xml:space="preserve"> FILENAME </w:instrText>
      </w:r>
      <w:r>
        <w:rPr>
          <w:sz w:val="14"/>
          <w:rFonts w:cs="Century Schoolbook" w:ascii="Century Schoolbook" w:hAnsi="Century Schoolbook"/>
        </w:rPr>
        <w:fldChar w:fldCharType="separate"/>
      </w:r>
      <w:r>
        <w:rPr>
          <w:sz w:val="14"/>
          <w:rFonts w:cs="Century Schoolbook" w:ascii="Century Schoolbook" w:hAnsi="Century Schoolbook"/>
        </w:rPr>
        <w:t>7_26_01_Ltr_to_T_Hannigan.doc</w:t>
      </w:r>
      <w:r>
        <w:rPr>
          <w:sz w:val="14"/>
          <w:rFonts w:cs="Century Schoolbook" w:ascii="Century Schoolbook" w:hAnsi="Century Schoolbook"/>
        </w:rPr>
        <w:fldChar w:fldCharType="end"/>
      </w:r>
    </w:p>
    <w:p>
      <w:pPr>
        <w:pStyle w:val="zCC"/>
        <w:spacing w:before="120" w:after="0"/>
        <w:rPr/>
      </w:pPr>
      <w:r>
        <w:rPr/>
        <w:t>cc:</w:t>
        <w:tab/>
        <w:t>All Parties of Record in A.00-11-038, et al</w:t>
        <w:br/>
        <w:t>President Loretta Lynch</w:t>
        <w:br/>
        <w:t>Commissioner Richard A. Bilas</w:t>
        <w:br/>
        <w:t>Commissioner Henry M. Duque</w:t>
        <w:br/>
        <w:t>Commissioner Carl Wood</w:t>
        <w:br/>
        <w:t>Commissioner Geoffrey F. Brown</w:t>
        <w:br/>
      </w:r>
      <w:r>
        <w:rPr>
          <w:color w:val="000000"/>
        </w:rPr>
        <w:t xml:space="preserve">Ms. Nancy McFadden, Sr. Advisor to Governor Davis </w:t>
        <w:br/>
        <w:t xml:space="preserve">Mr. B. Timothy Gage, Director, Department of Finance </w:t>
        <w:br/>
        <w:t xml:space="preserve">Mr. Barry P. Goode, Secretary of Legal Affairs </w:t>
        <w:br/>
        <w:t xml:space="preserve">Mr. S. David Freeman, Sr. Energy Advisor to Governor Davis </w:t>
        <w:br/>
        <w:t xml:space="preserve">Mr. Joseph Fichera, Sr. Managing Director &amp; CEO, Sabre Partners </w:t>
        <w:br/>
        <w:t xml:space="preserve">Mr. Michael Hoffman, Managing Director, The Blackstone Group </w:t>
      </w:r>
    </w:p>
    <w:sectPr>
      <w:headerReference w:type="default" r:id="rId2"/>
      <w:headerReference w:type="first" r:id="rId3"/>
      <w:footerReference w:type="default" r:id="rId4"/>
      <w:footerReference w:type="first" r:id="rId5"/>
      <w:type w:val="nextPage"/>
      <w:pgSz w:w="12240" w:h="15840"/>
      <w:pgMar w:left="1296" w:right="1296" w:gutter="0" w:header="432" w:top="1440" w:footer="504"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altName w:val="Century Schoolbook"/>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Garamond">
    <w:charset w:val="00" w:characterSet="windows-1252"/>
    <w:family w:val="roman"/>
    <w:pitch w:val="variable"/>
  </w:font>
  <w:font w:name="Times New Roman">
    <w:charset w:val="00" w:characterSet="windows-1252"/>
    <w:family w:val="roman"/>
    <w:pitch w:val="variable"/>
  </w:font>
  <w:font w:name="Century Schoolbook">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sz w:val="16"/>
      </w:rPr>
      <w:t xml:space="preserve">P.O. Box </w:t>
    </w:r>
    <w:bookmarkStart w:id="13" w:name="zPOBox"/>
    <w:bookmarkEnd w:id="13"/>
    <w:r>
      <w:rPr>
        <w:sz w:val="16"/>
      </w:rPr>
      <w:t>800</w:t>
      <w:tab/>
      <w:t>2244 Walnut Grove Ave.</w:t>
      <w:tab/>
      <w:t>Rosemead, California 91770</w:t>
      <w:tab/>
    </w:r>
    <w:bookmarkStart w:id="14" w:name="zPhoneNumber"/>
    <w:bookmarkEnd w:id="14"/>
    <w:r>
      <w:rPr>
        <w:sz w:val="16"/>
      </w:rPr>
      <w:t>(626) 302-2502</w:t>
    </w:r>
    <w:r>
      <w:rPr>
        <w:spacing w:val="-1"/>
        <w:sz w:val="16"/>
      </w:rPr>
      <w:tab/>
      <w:t xml:space="preserve">Fax </w:t>
    </w:r>
    <w:bookmarkStart w:id="15" w:name="zFaxNumber"/>
    <w:bookmarkEnd w:id="15"/>
    <w:r>
      <w:rPr>
        <w:spacing w:val="-1"/>
        <w:sz w:val="16"/>
      </w:rPr>
      <w:t>(626) 302-2781</w:t>
    </w:r>
    <w:r>
      <w:rPr>
        <w:sz w:val="16"/>
      </w:rPr>
      <w:t xml:space="preserve"> </w:t>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t xml:space="preserve">Page </w:t>
    </w:r>
    <w:r>
      <w:rPr/>
      <w:fldChar w:fldCharType="begin"/>
    </w:r>
    <w:r>
      <w:rPr/>
      <w:instrText xml:space="preserve"> PAGE </w:instrText>
    </w:r>
    <w:r>
      <w:rPr/>
      <w:fldChar w:fldCharType="separate"/>
    </w:r>
    <w:r>
      <w:rPr/>
      <w:t>8</w:t>
    </w:r>
    <w:r>
      <w:rPr/>
      <w:fldChar w:fldCharType="end"/>
    </w:r>
    <w:r>
      <w:rPr/>
      <w:t xml:space="preserve"> </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9"/>
      <w:gridCol w:w="3358"/>
    </w:tblGrid>
    <w:tr>
      <w:trPr/>
      <w:tc>
        <w:tcPr>
          <w:tcW w:w="3533" w:type="dxa"/>
          <w:tcBorders/>
        </w:tcPr>
        <w:p>
          <w:pPr>
            <w:pStyle w:val="zHeaderLogo"/>
            <w:spacing w:before="120" w:after="0"/>
            <w:rPr>
              <w:smallCaps/>
            </w:rPr>
          </w:pPr>
          <w:bookmarkStart w:id="9" w:name="zHeaderLogo"/>
          <w:bookmarkEnd w:id="9"/>
          <w:r>
            <w:rPr>
              <w:smallCaps/>
            </w:rPr>
            <w:drawing>
              <wp:inline distT="0" distB="0" distL="0" distR="0">
                <wp:extent cx="1651000" cy="6223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2" t="-58" r="-22" b="-58"/>
                        <a:stretch>
                          <a:fillRect/>
                        </a:stretch>
                      </pic:blipFill>
                      <pic:spPr bwMode="auto">
                        <a:xfrm>
                          <a:off x="0" y="0"/>
                          <a:ext cx="1651000" cy="622300"/>
                        </a:xfrm>
                        <a:prstGeom prst="rect">
                          <a:avLst/>
                        </a:prstGeom>
                        <a:noFill/>
                      </pic:spPr>
                    </pic:pic>
                  </a:graphicData>
                </a:graphic>
              </wp:inline>
            </w:drawing>
          </w:r>
        </w:p>
      </w:tc>
      <w:tc>
        <w:tcPr>
          <w:tcW w:w="4269" w:type="dxa"/>
          <w:tcBorders/>
        </w:tcPr>
        <w:p>
          <w:pPr>
            <w:pStyle w:val="Normal"/>
            <w:snapToGrid w:val="false"/>
            <w:spacing w:before="120" w:after="0"/>
            <w:jc w:val="center"/>
            <w:rPr>
              <w:rFonts w:ascii="Times New Roman;Times New Roman" w:hAnsi="Times New Roman;Times New Roman" w:cs="Times New Roman;Times New Roman"/>
              <w:smallCaps/>
              <w:color w:val="808080"/>
              <w:spacing w:val="10"/>
              <w:sz w:val="16"/>
            </w:rPr>
          </w:pPr>
          <w:r>
            <w:rPr>
              <w:rFonts w:cs="Times New Roman;Times New Roman" w:ascii="Times New Roman;Times New Roman" w:hAnsi="Times New Roman;Times New Roman"/>
              <w:smallCaps/>
              <w:color w:val="808080"/>
              <w:spacing w:val="10"/>
              <w:sz w:val="16"/>
            </w:rPr>
          </w:r>
        </w:p>
      </w:tc>
      <w:tc>
        <w:tcPr>
          <w:tcW w:w="3358" w:type="dxa"/>
          <w:tcBorders/>
        </w:tcPr>
        <w:p>
          <w:pPr>
            <w:pStyle w:val="zHeaderAuthorName"/>
            <w:spacing w:before="240" w:after="29"/>
            <w:ind w:hanging="0" w:start="720" w:end="0"/>
            <w:jc w:val="start"/>
            <w:rPr/>
          </w:pPr>
          <w:bookmarkStart w:id="10" w:name="zHeaderAuthorName"/>
          <w:bookmarkEnd w:id="10"/>
          <w:r>
            <w:rPr/>
            <w:t>William J. Scilacci, Jr.</w:t>
          </w:r>
        </w:p>
        <w:p>
          <w:pPr>
            <w:pStyle w:val="zHeaderAuthorTitle"/>
            <w:rPr/>
          </w:pPr>
          <w:bookmarkStart w:id="11" w:name="zHeaderAuthorTitle"/>
          <w:bookmarkEnd w:id="11"/>
          <w:r>
            <w:rPr/>
            <w:t>Chief Financial Officer</w:t>
          </w:r>
        </w:p>
        <w:p>
          <w:pPr>
            <w:pStyle w:val="zHeaderAuthorTitle"/>
            <w:rPr/>
          </w:pPr>
          <w:bookmarkStart w:id="12" w:name="zHeaderAuthorEmail"/>
          <w:bookmarkEnd w:id="12"/>
          <w:r>
            <w:rPr/>
            <w:t>W.James.Scilacci@SCE.com</w:t>
          </w:r>
        </w:p>
      </w:tc>
    </w:tr>
  </w:tbl>
  <w:p>
    <w:pPr>
      <w:pStyle w:val="Normal"/>
      <w:rPr/>
    </w:pPr>
    <w:r>
      <w:rPr/>
    </w:r>
  </w:p>
  <w:p>
    <w:pPr>
      <w:pStyle w:val="Header"/>
      <w:jc w:val="start"/>
      <w:rPr>
        <w:vanish/>
        <w:sz w:val="12"/>
      </w:rPr>
    </w:pPr>
    <w:r>
      <w:rPr>
        <w:vanish/>
        <w:sz w:val="1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pStyle w:val="Heading8"/>
      <w:numFmt w:val="decimal"/>
      <w:lvlText w:val="%8."/>
      <w:lvlJc w:val="start"/>
      <w:pPr>
        <w:tabs>
          <w:tab w:val="num" w:pos="3240"/>
        </w:tabs>
        <w:ind w:start="3240" w:hanging="360"/>
      </w:pPr>
    </w:lvl>
    <w:lvl w:ilvl="8">
      <w:start w:val="1"/>
      <w:pStyle w:val="Heading9"/>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bullet"/>
      <w:lvlText w:val=""/>
      <w:lvlJc w:val="start"/>
      <w:pPr>
        <w:tabs>
          <w:tab w:val="num" w:pos="720"/>
        </w:tabs>
        <w:ind w:start="72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780"/>
        </w:tabs>
        <w:ind w:start="780" w:hanging="360"/>
      </w:pPr>
      <w:rPr>
        <w:rFonts w:ascii="Wingdings" w:hAnsi="Wingdings" w:cs="Wingdings" w:hint="default"/>
      </w:rPr>
    </w:lvl>
    <w:lvl w:ilvl="1">
      <w:start w:val="1"/>
      <w:numFmt w:val="bullet"/>
      <w:lvlText w:val="o"/>
      <w:lvlJc w:val="start"/>
      <w:pPr>
        <w:tabs>
          <w:tab w:val="num" w:pos="1500"/>
        </w:tabs>
        <w:ind w:start="1500" w:hanging="360"/>
      </w:pPr>
      <w:rPr>
        <w:rFonts w:ascii="Courier New" w:hAnsi="Courier New" w:cs="Courier New" w:hint="default"/>
      </w:rPr>
    </w:lvl>
    <w:lvl w:ilvl="2">
      <w:start w:val="1"/>
      <w:numFmt w:val="bullet"/>
      <w:lvlText w:val=""/>
      <w:lvlJc w:val="start"/>
      <w:pPr>
        <w:tabs>
          <w:tab w:val="num" w:pos="2220"/>
        </w:tabs>
        <w:ind w:start="2220" w:hanging="360"/>
      </w:pPr>
      <w:rPr>
        <w:rFonts w:ascii="Wingdings" w:hAnsi="Wingdings" w:cs="Wingdings" w:hint="default"/>
      </w:rPr>
    </w:lvl>
    <w:lvl w:ilvl="3">
      <w:start w:val="1"/>
      <w:numFmt w:val="bullet"/>
      <w:lvlText w:val=""/>
      <w:lvlJc w:val="start"/>
      <w:pPr>
        <w:tabs>
          <w:tab w:val="num" w:pos="2940"/>
        </w:tabs>
        <w:ind w:start="2940" w:hanging="360"/>
      </w:pPr>
      <w:rPr>
        <w:rFonts w:ascii="Symbol" w:hAnsi="Symbol" w:cs="Symbol" w:hint="default"/>
      </w:rPr>
    </w:lvl>
    <w:lvl w:ilvl="4">
      <w:start w:val="1"/>
      <w:numFmt w:val="bullet"/>
      <w:lvlText w:val="o"/>
      <w:lvlJc w:val="start"/>
      <w:pPr>
        <w:tabs>
          <w:tab w:val="num" w:pos="3660"/>
        </w:tabs>
        <w:ind w:start="3660" w:hanging="360"/>
      </w:pPr>
      <w:rPr>
        <w:rFonts w:ascii="Courier New" w:hAnsi="Courier New" w:cs="Courier New" w:hint="default"/>
      </w:rPr>
    </w:lvl>
    <w:lvl w:ilvl="5">
      <w:start w:val="1"/>
      <w:numFmt w:val="bullet"/>
      <w:lvlText w:val=""/>
      <w:lvlJc w:val="start"/>
      <w:pPr>
        <w:tabs>
          <w:tab w:val="num" w:pos="4380"/>
        </w:tabs>
        <w:ind w:start="4380" w:hanging="360"/>
      </w:pPr>
      <w:rPr>
        <w:rFonts w:ascii="Wingdings" w:hAnsi="Wingdings" w:cs="Wingdings" w:hint="default"/>
      </w:rPr>
    </w:lvl>
    <w:lvl w:ilvl="6">
      <w:start w:val="1"/>
      <w:numFmt w:val="bullet"/>
      <w:lvlText w:val=""/>
      <w:lvlJc w:val="start"/>
      <w:pPr>
        <w:tabs>
          <w:tab w:val="num" w:pos="5100"/>
        </w:tabs>
        <w:ind w:start="5100" w:hanging="360"/>
      </w:pPr>
      <w:rPr>
        <w:rFonts w:ascii="Symbol" w:hAnsi="Symbol" w:cs="Symbol" w:hint="default"/>
      </w:rPr>
    </w:lvl>
    <w:lvl w:ilvl="7">
      <w:start w:val="1"/>
      <w:numFmt w:val="bullet"/>
      <w:lvlText w:val="o"/>
      <w:lvlJc w:val="start"/>
      <w:pPr>
        <w:tabs>
          <w:tab w:val="num" w:pos="5820"/>
        </w:tabs>
        <w:ind w:start="5820" w:hanging="360"/>
      </w:pPr>
      <w:rPr>
        <w:rFonts w:ascii="Courier New" w:hAnsi="Courier New" w:cs="Courier New" w:hint="default"/>
      </w:rPr>
    </w:lvl>
    <w:lvl w:ilvl="8">
      <w:start w:val="1"/>
      <w:numFmt w:val="bullet"/>
      <w:lvlText w:val=""/>
      <w:lvlJc w:val="start"/>
      <w:pPr>
        <w:tabs>
          <w:tab w:val="num" w:pos="6540"/>
        </w:tabs>
        <w:ind w:start="654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CenturySchlbk;Century Schoolbook" w:hAnsi="NewCenturySchlbk;Century Schoolbook" w:eastAsia="Times New Roman;Times New Roman" w:cs="NewCenturySchlbk;Century Schoolbook"/>
      <w:color w:val="auto"/>
      <w:kern w:val="2"/>
      <w:sz w:val="24"/>
      <w:szCs w:val="20"/>
      <w:lang w:val="en-US" w:bidi="ar-SA" w:eastAsia="zh-CN"/>
    </w:rPr>
  </w:style>
  <w:style w:type="paragraph" w:styleId="Heading1">
    <w:name w:val="heading 1"/>
    <w:basedOn w:val="HeadingBase"/>
    <w:next w:val="BodyText"/>
    <w:qFormat/>
    <w:pPr>
      <w:spacing w:before="0" w:after="180"/>
      <w:jc w:val="center"/>
      <w:outlineLvl w:val="0"/>
    </w:pPr>
    <w:rPr>
      <w:smallCaps/>
      <w:spacing w:val="20"/>
      <w:sz w:val="21"/>
    </w:rPr>
  </w:style>
  <w:style w:type="paragraph" w:styleId="Heading2">
    <w:name w:val="heading 2"/>
    <w:basedOn w:val="HeadingBase"/>
    <w:next w:val="BodyText"/>
    <w:qFormat/>
    <w:pPr>
      <w:spacing w:before="0" w:after="170"/>
      <w:outlineLvl w:val="1"/>
    </w:pPr>
    <w:rPr>
      <w:caps/>
      <w:sz w:val="21"/>
    </w:rPr>
  </w:style>
  <w:style w:type="paragraph" w:styleId="Heading3">
    <w:name w:val="heading 3"/>
    <w:basedOn w:val="HeadingBase"/>
    <w:next w:val="BodyText"/>
    <w:qFormat/>
    <w:pPr>
      <w:spacing w:before="0" w:after="240"/>
      <w:outlineLvl w:val="2"/>
    </w:pPr>
    <w:rPr>
      <w:i/>
    </w:rPr>
  </w:style>
  <w:style w:type="paragraph" w:styleId="Heading4">
    <w:name w:val="heading 4"/>
    <w:basedOn w:val="HeadingBase"/>
    <w:next w:val="BodyText"/>
    <w:qFormat/>
    <w:pPr>
      <w:outlineLvl w:val="3"/>
    </w:pPr>
    <w:rPr>
      <w:smallCaps/>
      <w:sz w:val="23"/>
    </w:rPr>
  </w:style>
  <w:style w:type="paragraph" w:styleId="Heading5">
    <w:name w:val="heading 5"/>
    <w:basedOn w:val="HeadingBase"/>
    <w:next w:val="BodyText"/>
    <w:qFormat/>
    <w:pPr>
      <w:outlineLvl w:val="4"/>
    </w:pPr>
    <w:rPr/>
  </w:style>
  <w:style w:type="paragraph" w:styleId="Heading6">
    <w:name w:val="heading 6"/>
    <w:basedOn w:val="HeadingBase"/>
    <w:next w:val="BodyText"/>
    <w:qFormat/>
    <w:pPr>
      <w:outlineLvl w:val="5"/>
    </w:pPr>
    <w:rPr>
      <w:i/>
    </w:rPr>
  </w:style>
  <w:style w:type="paragraph" w:styleId="Heading7">
    <w:name w:val="heading 7"/>
    <w:basedOn w:val="Heading2"/>
    <w:next w:val="Normal"/>
    <w:qFormat/>
    <w:pPr>
      <w:numPr>
        <w:ilvl w:val="6"/>
        <w:numId w:val="1"/>
      </w:numPr>
      <w:spacing w:lineRule="exact" w:line="480" w:before="240" w:after="120"/>
      <w:outlineLvl w:val="6"/>
    </w:pPr>
    <w:rPr>
      <w:b/>
      <w:caps w:val="false"/>
      <w:smallCaps w:val="false"/>
      <w:color w:val="0000FF"/>
      <w:kern w:val="0"/>
      <w:sz w:val="24"/>
      <w:u w:val="single"/>
    </w:rPr>
  </w:style>
  <w:style w:type="paragraph" w:styleId="Heading8">
    <w:name w:val="heading 8"/>
    <w:basedOn w:val="Heading2"/>
    <w:next w:val="Normal"/>
    <w:qFormat/>
    <w:pPr>
      <w:numPr>
        <w:ilvl w:val="7"/>
        <w:numId w:val="1"/>
      </w:numPr>
      <w:spacing w:lineRule="exact" w:line="480" w:before="240" w:after="120"/>
      <w:outlineLvl w:val="7"/>
    </w:pPr>
    <w:rPr>
      <w:b/>
      <w:caps w:val="false"/>
      <w:smallCaps w:val="false"/>
      <w:color w:val="0000FF"/>
      <w:kern w:val="0"/>
      <w:sz w:val="24"/>
      <w:u w:val="single"/>
    </w:rPr>
  </w:style>
  <w:style w:type="paragraph" w:styleId="Heading9">
    <w:name w:val="heading 9"/>
    <w:basedOn w:val="Heading2"/>
    <w:next w:val="Normal"/>
    <w:qFormat/>
    <w:pPr>
      <w:numPr>
        <w:ilvl w:val="8"/>
        <w:numId w:val="1"/>
      </w:numPr>
      <w:spacing w:lineRule="exact" w:line="480" w:before="240" w:after="120"/>
      <w:outlineLvl w:val="8"/>
    </w:pPr>
    <w:rPr>
      <w:b/>
      <w:caps w:val="false"/>
      <w:smallCaps w:val="false"/>
      <w:color w:val="0000FF"/>
      <w:kern w:val="0"/>
      <w:sz w:val="24"/>
      <w:u w:val="single"/>
    </w:rPr>
  </w:style>
  <w:style w:type="character" w:styleId="WW8Num1z0">
    <w:name w:val="WW8Num1z0"/>
    <w:qFormat/>
    <w:rPr>
      <w:color w:val="0000FF"/>
      <w:u w:val="none"/>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DefaultParagraphFont">
    <w:name w:val="Default Paragraph Font"/>
    <w:qFormat/>
    <w:rPr/>
  </w:style>
  <w:style w:type="character" w:styleId="Emphasis">
    <w:name w:val="Emphasis"/>
    <w:qFormat/>
    <w:rPr>
      <w:caps/>
      <w:sz w:val="18"/>
    </w:rPr>
  </w:style>
  <w:style w:type="character" w:styleId="Slogan">
    <w:name w:val="Slogan"/>
    <w:basedOn w:val="DefaultParagraphFont"/>
    <w:qFormat/>
    <w:rPr>
      <w:i/>
      <w:spacing w:val="7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ind w:firstLine="360" w:start="0" w:end="0"/>
    </w:pPr>
    <w:rPr/>
  </w:style>
  <w:style w:type="paragraph" w:styleId="List">
    <w:name w:val="List"/>
    <w:basedOn w:val="BodyText"/>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ind w:hanging="0" w:start="0" w:end="0"/>
      <w:jc w:val="start"/>
    </w:pPr>
    <w:rPr>
      <w:kern w:val="2"/>
    </w:rPr>
  </w:style>
  <w:style w:type="paragraph" w:styleId="Closing">
    <w:name w:val="Closing"/>
    <w:basedOn w:val="Normal"/>
    <w:qFormat/>
    <w:pPr>
      <w:keepNext w:val="true"/>
      <w:spacing w:before="480" w:after="240"/>
      <w:ind w:hanging="0" w:start="4680" w:end="0"/>
      <w:jc w:val="start"/>
    </w:pPr>
    <w:rPr>
      <w:kern w:val="0"/>
    </w:rPr>
  </w:style>
  <w:style w:type="paragraph" w:styleId="Salutation">
    <w:name w:val="Salutation"/>
    <w:basedOn w:val="Normal"/>
    <w:next w:val="SubjectLine"/>
    <w:qFormat/>
    <w:pPr>
      <w:spacing w:lineRule="atLeast" w:line="240" w:before="480" w:after="0"/>
      <w:jc w:val="start"/>
    </w:pPr>
    <w:rPr/>
  </w:style>
  <w:style w:type="paragraph" w:styleId="CcList">
    <w:name w:val="Cc List"/>
    <w:basedOn w:val="Normal"/>
    <w:qFormat/>
    <w:pPr>
      <w:keepLines/>
      <w:spacing w:lineRule="atLeast" w:line="240"/>
      <w:ind w:hanging="360" w:start="360" w:end="0"/>
    </w:pPr>
    <w:rPr/>
  </w:style>
  <w:style w:type="paragraph" w:styleId="Closing2">
    <w:name w:val="Closing2"/>
    <w:basedOn w:val="Normal"/>
    <w:next w:val="Normal"/>
    <w:qFormat/>
    <w:pPr>
      <w:keepNext w:val="true"/>
      <w:spacing w:before="240" w:after="0"/>
      <w:jc w:val="start"/>
    </w:pPr>
    <w:rPr>
      <w:rFonts w:ascii="NewCenturySchlbk;Century Schoolbook" w:hAnsi="NewCenturySchlbk;Century Schoolbook" w:cs="NewCenturySchlbk;Century Schoolbook"/>
      <w:kern w:val="0"/>
      <w:sz w:val="16"/>
    </w:rPr>
  </w:style>
  <w:style w:type="paragraph" w:styleId="Signature">
    <w:name w:val="Signature"/>
    <w:basedOn w:val="Normal"/>
    <w:next w:val="SignatureJobTitle"/>
    <w:pPr>
      <w:keepNext w:val="true"/>
      <w:spacing w:lineRule="atLeast" w:line="240" w:before="880" w:after="0"/>
      <w:ind w:hanging="0" w:start="4565" w:end="0"/>
      <w:jc w:val="start"/>
    </w:pPr>
    <w:rPr/>
  </w:style>
  <w:style w:type="paragraph" w:styleId="CompanyName">
    <w:name w:val="Company Name"/>
    <w:basedOn w:val="BodyText"/>
    <w:next w:val="Date"/>
    <w:qFormat/>
    <w:pPr>
      <w:keepLines/>
      <w:spacing w:before="0" w:after="40"/>
      <w:ind w:hanging="0" w:start="0" w:end="0"/>
      <w:jc w:val="center"/>
    </w:pPr>
    <w:rPr>
      <w:caps/>
      <w:spacing w:val="75"/>
      <w:sz w:val="21"/>
    </w:rPr>
  </w:style>
  <w:style w:type="paragraph" w:styleId="Date">
    <w:name w:val="Date"/>
    <w:basedOn w:val="Normal"/>
    <w:next w:val="Normal"/>
    <w:qFormat/>
    <w:pPr>
      <w:spacing w:before="0" w:after="480"/>
      <w:jc w:val="center"/>
    </w:pPr>
    <w:rPr>
      <w:lang w:val="en-CA" w:eastAsia="en-CA"/>
    </w:rPr>
  </w:style>
  <w:style w:type="paragraph" w:styleId="Enclosure">
    <w:name w:val="Enclosure"/>
    <w:basedOn w:val="Normal"/>
    <w:next w:val="CcList"/>
    <w:qFormat/>
    <w:pPr>
      <w:keepNext w:val="true"/>
      <w:keepLines/>
      <w:spacing w:lineRule="atLeast" w:line="240" w:before="120" w:after="120"/>
    </w:pPr>
    <w:rPr/>
  </w:style>
  <w:style w:type="paragraph" w:styleId="InsideAddress">
    <w:name w:val="Inside Address"/>
    <w:basedOn w:val="Normal"/>
    <w:qFormat/>
    <w:pPr>
      <w:spacing w:lineRule="atLeast" w:line="240" w:before="0" w:after="0"/>
      <w:jc w:val="star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pacing w:before="0" w:after="0"/>
    </w:pPr>
    <w:rPr/>
  </w:style>
  <w:style w:type="paragraph" w:styleId="MailingInstructions">
    <w:name w:val="Mailing Instructions"/>
    <w:basedOn w:val="Normal"/>
    <w:next w:val="Normal"/>
    <w:qFormat/>
    <w:pPr>
      <w:keepNext w:val="true"/>
      <w:spacing w:lineRule="atLeast" w:line="240" w:before="0" w:after="240"/>
    </w:pPr>
    <w:rPr>
      <w:caps/>
    </w:rPr>
  </w:style>
  <w:style w:type="paragraph" w:styleId="ReferenceInitials">
    <w:name w:val="Reference Initials"/>
    <w:basedOn w:val="Normal"/>
    <w:next w:val="Enclosure"/>
    <w:qFormat/>
    <w:pPr>
      <w:keepNext w:val="true"/>
      <w:spacing w:lineRule="atLeast" w:line="240" w:before="220" w:after="0"/>
      <w:jc w:val="start"/>
    </w:pPr>
    <w:rPr/>
  </w:style>
  <w:style w:type="paragraph" w:styleId="ReferenceLine">
    <w:name w:val="Reference Line"/>
    <w:basedOn w:val="Normal"/>
    <w:next w:val="MailingInstructions"/>
    <w:qFormat/>
    <w:pPr>
      <w:keepNext w:val="true"/>
      <w:spacing w:lineRule="atLeast" w:line="240" w:before="0" w:after="240"/>
      <w:jc w:val="start"/>
    </w:pPr>
    <w:rPr/>
  </w:style>
  <w:style w:type="paragraph" w:styleId="ReturnAddress">
    <w:name w:val="Return Address"/>
    <w:qFormat/>
    <w:pPr>
      <w:widowControl/>
      <w:tabs>
        <w:tab w:val="clear" w:pos="720"/>
        <w:tab w:val="left" w:pos="2160" w:leader="none"/>
      </w:tabs>
      <w:bidi w:val="0"/>
      <w:spacing w:lineRule="atLeast" w:line="240"/>
      <w:ind w:hanging="0" w:start="0" w:end="-240"/>
      <w:jc w:val="center"/>
    </w:pPr>
    <w:rPr>
      <w:rFonts w:ascii="Garamond" w:hAnsi="Garamond" w:eastAsia="Times New Roman;Times New Roman" w:cs="Garamond"/>
      <w:caps/>
      <w:color w:val="auto"/>
      <w:spacing w:val="30"/>
      <w:sz w:val="14"/>
      <w:szCs w:val="20"/>
      <w:lang w:val="en-US" w:bidi="ar-SA" w:eastAsia="zh-CN"/>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40" w:before="0" w:after="180"/>
      <w:ind w:hanging="360" w:start="360" w:end="0"/>
      <w:jc w:val="start"/>
    </w:pPr>
    <w:rPr>
      <w:caps/>
      <w:sz w:val="21"/>
    </w:rPr>
  </w:style>
  <w:style w:type="paragraph" w:styleId="Header">
    <w:name w:val="header"/>
    <w:basedOn w:val="Normal"/>
    <w:pPr>
      <w:tabs>
        <w:tab w:val="clear" w:pos="720"/>
        <w:tab w:val="center" w:pos="4320" w:leader="none"/>
        <w:tab w:val="right" w:pos="8640" w:leader="none"/>
      </w:tabs>
      <w:spacing w:before="0" w:after="0"/>
      <w:jc w:val="both"/>
    </w:pPr>
    <w:rPr>
      <w:rFonts w:ascii="Times New Roman;Times New Roman" w:hAnsi="Times New Roman;Times New Roman" w:cs="Times New Roman;Times New Roman"/>
      <w:sz w:val="16"/>
    </w:rPr>
  </w:style>
  <w:style w:type="paragraph" w:styleId="ListBullet1">
    <w:name w:val="List Bullet1"/>
    <w:basedOn w:val="List"/>
    <w:qFormat/>
    <w:pPr>
      <w:numPr>
        <w:ilvl w:val="0"/>
        <w:numId w:val="4"/>
      </w:numPr>
      <w:ind w:hanging="360" w:start="720" w:end="720"/>
    </w:pPr>
    <w:rPr/>
  </w:style>
  <w:style w:type="paragraph" w:styleId="ListNumber">
    <w:name w:val="List Number"/>
    <w:basedOn w:val="List"/>
    <w:qFormat/>
    <w:pPr>
      <w:numPr>
        <w:ilvl w:val="0"/>
        <w:numId w:val="3"/>
      </w:numPr>
      <w:ind w:hanging="360" w:start="720" w:end="720"/>
    </w:pPr>
    <w:rPr/>
  </w:style>
  <w:style w:type="paragraph" w:styleId="zNames">
    <w:name w:val="zNames"/>
    <w:basedOn w:val="InsideAddress"/>
    <w:qFormat/>
    <w:pPr>
      <w:keepNext w:val="true"/>
      <w:keepLines/>
      <w:spacing w:lineRule="auto" w:line="240" w:before="0" w:after="0"/>
    </w:pPr>
    <w:rPr>
      <w:kern w:val="0"/>
    </w:rPr>
  </w:style>
  <w:style w:type="paragraph" w:styleId="zHeaderLogo">
    <w:name w:val="zHeaderLogo"/>
    <w:basedOn w:val="Normal"/>
    <w:next w:val="Normal"/>
    <w:qFormat/>
    <w:pPr>
      <w:spacing w:before="120" w:after="0"/>
      <w:jc w:val="start"/>
    </w:pPr>
    <w:rPr>
      <w:rFonts w:ascii="Times New Roman;Times New Roman" w:hAnsi="Times New Roman;Times New Roman" w:cs="Times New Roman;Times New Roman"/>
      <w:kern w:val="0"/>
      <w:sz w:val="16"/>
    </w:rPr>
  </w:style>
  <w:style w:type="paragraph" w:styleId="zHeaderAuthorTitle">
    <w:name w:val="zHeaderAuthorTitle"/>
    <w:basedOn w:val="Normal"/>
    <w:qFormat/>
    <w:pPr>
      <w:spacing w:before="0" w:after="0"/>
      <w:ind w:hanging="0" w:start="720" w:end="0"/>
      <w:jc w:val="start"/>
    </w:pPr>
    <w:rPr>
      <w:rFonts w:ascii="Times New Roman;Times New Roman" w:hAnsi="Times New Roman;Times New Roman" w:cs="Times New Roman;Times New Roman"/>
      <w:color w:val="000000"/>
      <w:spacing w:val="-1"/>
      <w:kern w:val="0"/>
      <w:sz w:val="18"/>
    </w:rPr>
  </w:style>
  <w:style w:type="paragraph" w:styleId="zHeaderAuthorName">
    <w:name w:val="zHeaderAuthorName"/>
    <w:basedOn w:val="Normal"/>
    <w:next w:val="zHeaderAuthorTitle"/>
    <w:qFormat/>
    <w:pPr>
      <w:spacing w:before="240" w:after="29"/>
      <w:ind w:hanging="0" w:start="720" w:end="0"/>
      <w:jc w:val="start"/>
    </w:pPr>
    <w:rPr>
      <w:rFonts w:ascii="Times New Roman;Times New Roman" w:hAnsi="Times New Roman;Times New Roman" w:cs="Times New Roman;Times New Roman"/>
      <w:b/>
      <w:color w:val="000000"/>
      <w:kern w:val="0"/>
      <w:sz w:val="18"/>
    </w:rPr>
  </w:style>
  <w:style w:type="paragraph" w:styleId="zEnclosures">
    <w:name w:val="zEnclosures"/>
    <w:basedOn w:val="Normal"/>
    <w:next w:val="Normal"/>
    <w:qFormat/>
    <w:pPr>
      <w:keepNext w:val="true"/>
      <w:spacing w:before="240" w:after="240"/>
      <w:jc w:val="start"/>
    </w:pPr>
    <w:rPr>
      <w:rFonts w:ascii="NewCenturySchlbk;Century Schoolbook" w:hAnsi="NewCenturySchlbk;Century Schoolbook" w:cs="NewCenturySchlbk;Century Schoolbook"/>
      <w:kern w:val="0"/>
      <w:sz w:val="24"/>
    </w:rPr>
  </w:style>
  <w:style w:type="paragraph" w:styleId="zCertMail">
    <w:name w:val="zCertMail"/>
    <w:basedOn w:val="Normal"/>
    <w:qFormat/>
    <w:pPr>
      <w:spacing w:before="0" w:after="480"/>
      <w:jc w:val="start"/>
    </w:pPr>
    <w:rPr>
      <w:rFonts w:ascii="NewCenturySchlbk;Century Schoolbook" w:hAnsi="NewCenturySchlbk;Century Schoolbook" w:cs="NewCenturySchlbk;Century Schoolbook"/>
      <w:kern w:val="0"/>
      <w:sz w:val="24"/>
    </w:rPr>
  </w:style>
  <w:style w:type="paragraph" w:styleId="zCC">
    <w:name w:val="zCC"/>
    <w:basedOn w:val="Normal"/>
    <w:next w:val="Normal"/>
    <w:qFormat/>
    <w:pPr>
      <w:keepLines/>
      <w:ind w:hanging="576" w:start="576" w:end="0"/>
      <w:jc w:val="start"/>
    </w:pPr>
    <w:rPr>
      <w:kern w:val="0"/>
    </w:rPr>
  </w:style>
  <w:style w:type="paragraph" w:styleId="zBCC">
    <w:name w:val="zBCC"/>
    <w:basedOn w:val="zCC"/>
    <w:next w:val="Normal"/>
    <w:qFormat/>
    <w:pPr>
      <w:pageBreakBefore/>
      <w:spacing w:before="240" w:after="0"/>
    </w:pPr>
    <w:rPr/>
  </w:style>
  <w:style w:type="paragraph" w:styleId="LetterText">
    <w:name w:val="Letter Text"/>
    <w:basedOn w:val="Normal"/>
    <w:qFormat/>
    <w:pPr>
      <w:spacing w:before="240" w:after="0"/>
      <w:ind w:firstLine="720" w:start="0" w:end="0"/>
      <w:jc w:val="start"/>
    </w:pPr>
    <w:rPr>
      <w:kern w:val="0"/>
    </w:rPr>
  </w:style>
  <w:style w:type="paragraph" w:styleId="Subject">
    <w:name w:val="Subject"/>
    <w:basedOn w:val="Normal"/>
    <w:qFormat/>
    <w:pPr>
      <w:jc w:val="start"/>
    </w:pPr>
    <w:rPr>
      <w:rFonts w:ascii="NewCenturySchlbk;Century Schoolbook" w:hAnsi="NewCenturySchlbk;Century Schoolbook" w:cs="NewCenturySchlbk;Century Schoolbook"/>
      <w:kern w:val="0"/>
      <w:sz w:val="24"/>
    </w:rPr>
  </w:style>
  <w:style w:type="paragraph" w:styleId="Re">
    <w:name w:val="Re:"/>
    <w:basedOn w:val="Normal"/>
    <w:next w:val="Normal"/>
    <w:qFormat/>
    <w:pPr>
      <w:spacing w:before="480" w:after="0"/>
      <w:jc w:val="start"/>
    </w:pPr>
    <w:rPr>
      <w:kern w:val="0"/>
    </w:rPr>
  </w:style>
  <w:style w:type="paragraph" w:styleId="AttyPrivilege">
    <w:name w:val="AttyPrivilege"/>
    <w:basedOn w:val="Normal"/>
    <w:qFormat/>
    <w:pPr>
      <w:pBdr>
        <w:top w:val="single" w:sz="6" w:space="1" w:color="000000" w:shadow="1"/>
        <w:left w:val="single" w:sz="6" w:space="1" w:color="000000" w:shadow="1"/>
        <w:bottom w:val="single" w:sz="6" w:space="1" w:color="000000" w:shadow="1"/>
        <w:right w:val="single" w:sz="6" w:space="1" w:color="000000" w:shadow="1"/>
      </w:pBdr>
      <w:shd w:fill="F2F2F2" w:val="clear"/>
      <w:spacing w:before="0" w:after="240"/>
    </w:pPr>
    <w:rPr>
      <w:b/>
      <w:kern w:val="0"/>
      <w:sz w:val="18"/>
    </w:rPr>
  </w:style>
  <w:style w:type="paragraph" w:styleId="Index1">
    <w:name w:val="index 1"/>
    <w:basedOn w:val="Normal"/>
    <w:next w:val="Index2"/>
    <w:pPr>
      <w:keepNext w:val="true"/>
      <w:keepLines/>
      <w:spacing w:lineRule="atLeast" w:line="240" w:before="240" w:after="0"/>
      <w:jc w:val="center"/>
    </w:pPr>
    <w:rPr>
      <w:b/>
      <w:kern w:val="0"/>
    </w:rPr>
  </w:style>
  <w:style w:type="paragraph" w:styleId="Index2">
    <w:name w:val="index 2"/>
    <w:basedOn w:val="Normal"/>
    <w:next w:val="Normal"/>
    <w:pPr>
      <w:ind w:hanging="240" w:start="480" w:end="0"/>
    </w:pPr>
    <w:rPr/>
  </w:style>
  <w:style w:type="paragraph" w:styleId="InterrogResponse">
    <w:name w:val="Interrog Response"/>
    <w:basedOn w:val="Normal"/>
    <w:qFormat/>
    <w:pPr>
      <w:spacing w:lineRule="exact" w:line="480"/>
      <w:jc w:val="start"/>
    </w:pPr>
    <w:rPr>
      <w:b/>
      <w:kern w:val="0"/>
    </w:rPr>
  </w:style>
  <w:style w:type="paragraph" w:styleId="Interrogatory">
    <w:name w:val="Interrogatory"/>
    <w:basedOn w:val="Normal"/>
    <w:next w:val="Normal"/>
    <w:qFormat/>
    <w:pPr>
      <w:spacing w:lineRule="exact" w:line="480"/>
      <w:jc w:val="start"/>
    </w:pPr>
    <w:rPr>
      <w:b/>
      <w:kern w:val="0"/>
    </w:rPr>
  </w:style>
  <w:style w:type="paragraph" w:styleId="Interrogatory1">
    <w:name w:val="Interrogatory 1"/>
    <w:basedOn w:val="Normal"/>
    <w:next w:val="Normal"/>
    <w:qFormat/>
    <w:pPr>
      <w:keepNext w:val="true"/>
      <w:keepLines/>
      <w:spacing w:before="240" w:after="0"/>
      <w:jc w:val="start"/>
    </w:pPr>
    <w:rPr>
      <w:b/>
      <w:kern w:val="0"/>
      <w:u w:val="single"/>
    </w:rPr>
  </w:style>
  <w:style w:type="paragraph" w:styleId="Interrogatory1Text">
    <w:name w:val="Interrogatory 1 Text"/>
    <w:basedOn w:val="Normal"/>
    <w:qFormat/>
    <w:pPr>
      <w:spacing w:lineRule="exact" w:line="480"/>
      <w:ind w:firstLine="720" w:start="0" w:end="0"/>
      <w:jc w:val="start"/>
    </w:pPr>
    <w:rPr>
      <w:kern w:val="0"/>
    </w:rPr>
  </w:style>
  <w:style w:type="paragraph" w:styleId="Interrogatory2">
    <w:name w:val="Interrogatory 2"/>
    <w:basedOn w:val="Interrogatory1"/>
    <w:next w:val="Normal"/>
    <w:qFormat/>
    <w:pPr/>
    <w:rPr/>
  </w:style>
  <w:style w:type="paragraph" w:styleId="Interrogatory2Text">
    <w:name w:val="Interrogatory 2 Text"/>
    <w:basedOn w:val="Interrogatory1Text"/>
    <w:qFormat/>
    <w:pPr/>
    <w:rPr/>
  </w:style>
  <w:style w:type="paragraph" w:styleId="Interrogatory3">
    <w:name w:val="Interrogatory 3"/>
    <w:basedOn w:val="Interrogatory1"/>
    <w:next w:val="Normal"/>
    <w:qFormat/>
    <w:pPr/>
    <w:rPr/>
  </w:style>
  <w:style w:type="paragraph" w:styleId="Interrogatory3Text">
    <w:name w:val="Interrogatory 3 Text"/>
    <w:basedOn w:val="Interrogatory1Text"/>
    <w:qFormat/>
    <w:pPr/>
    <w:rPr/>
  </w:style>
  <w:style w:type="paragraph" w:styleId="Interrogatory4">
    <w:name w:val="Interrogatory 4"/>
    <w:basedOn w:val="Interrogatory1"/>
    <w:next w:val="Normal"/>
    <w:qFormat/>
    <w:pPr/>
    <w:rPr/>
  </w:style>
  <w:style w:type="paragraph" w:styleId="Interrogatory4Text">
    <w:name w:val="Interrogatory 4 Text"/>
    <w:basedOn w:val="Interrogatory1Text"/>
    <w:qFormat/>
    <w:pPr/>
    <w:rPr/>
  </w:style>
  <w:style w:type="paragraph" w:styleId="Interrogatory5">
    <w:name w:val="Interrogatory 5"/>
    <w:basedOn w:val="Interrogatory1"/>
    <w:next w:val="Normal"/>
    <w:qFormat/>
    <w:pPr/>
    <w:rPr/>
  </w:style>
  <w:style w:type="paragraph" w:styleId="Interrogatory5Text">
    <w:name w:val="Interrogatory 5 Text"/>
    <w:basedOn w:val="Interrogatory1Text"/>
    <w:qFormat/>
    <w:pPr/>
    <w:rPr/>
  </w:style>
  <w:style w:type="paragraph" w:styleId="Interrogatory6">
    <w:name w:val="Interrogatory 6"/>
    <w:basedOn w:val="Interrogatory1"/>
    <w:next w:val="Normal"/>
    <w:qFormat/>
    <w:pPr/>
    <w:rPr/>
  </w:style>
  <w:style w:type="paragraph" w:styleId="Interrogatory6Text">
    <w:name w:val="Interrogatory 6 Text"/>
    <w:basedOn w:val="Interrogatory1Text"/>
    <w:qFormat/>
    <w:pPr/>
    <w:rPr/>
  </w:style>
  <w:style w:type="paragraph" w:styleId="Interrogatory7">
    <w:name w:val="Interrogatory 7"/>
    <w:basedOn w:val="Interrogatory1"/>
    <w:next w:val="Normal"/>
    <w:qFormat/>
    <w:pPr/>
    <w:rPr/>
  </w:style>
  <w:style w:type="paragraph" w:styleId="Interrogatory7Text">
    <w:name w:val="Interrogatory 7 Text"/>
    <w:basedOn w:val="Interrogatory1Text"/>
    <w:qFormat/>
    <w:pPr/>
    <w:rPr/>
  </w:style>
  <w:style w:type="paragraph" w:styleId="Interrogatory8">
    <w:name w:val="Interrogatory 8"/>
    <w:basedOn w:val="Interrogatory1"/>
    <w:next w:val="Normal"/>
    <w:qFormat/>
    <w:pPr/>
    <w:rPr/>
  </w:style>
  <w:style w:type="paragraph" w:styleId="Interrogatory8Text">
    <w:name w:val="Interrogatory 8 Text"/>
    <w:basedOn w:val="Interrogatory1Text"/>
    <w:qFormat/>
    <w:pPr/>
    <w:rPr/>
  </w:style>
  <w:style w:type="paragraph" w:styleId="ListBullet">
    <w:name w:val="List Bullet"/>
    <w:basedOn w:val="Normal"/>
    <w:pPr>
      <w:numPr>
        <w:ilvl w:val="0"/>
        <w:numId w:val="2"/>
      </w:numPr>
      <w:spacing w:before="240" w:after="0"/>
    </w:pPr>
    <w:rPr>
      <w:kern w:val="0"/>
    </w:rPr>
  </w:style>
  <w:style w:type="paragraph" w:styleId="ListBullet2">
    <w:name w:val="List Bullet 2"/>
    <w:basedOn w:val="ListBullet"/>
    <w:pPr>
      <w:ind w:hanging="0" w:start="1440" w:end="0"/>
    </w:pPr>
    <w:rPr/>
  </w:style>
  <w:style w:type="paragraph" w:styleId="ListBullet3">
    <w:name w:val="List Bullet 3"/>
    <w:basedOn w:val="ListBullet"/>
    <w:pPr>
      <w:ind w:hanging="0" w:start="2160" w:end="0"/>
    </w:pPr>
    <w:rPr/>
  </w:style>
  <w:style w:type="paragraph" w:styleId="ListBullet4">
    <w:name w:val="List Bullet 4"/>
    <w:basedOn w:val="ListBullet"/>
    <w:pPr>
      <w:ind w:hanging="0" w:start="2880" w:end="0"/>
    </w:pPr>
    <w:rPr/>
  </w:style>
  <w:style w:type="paragraph" w:styleId="ListBullet5">
    <w:name w:val="List Bullet 5"/>
    <w:basedOn w:val="ListBullet"/>
    <w:pPr>
      <w:ind w:hanging="0" w:start="3600" w:end="0"/>
    </w:pPr>
    <w:rPr/>
  </w:style>
  <w:style w:type="paragraph" w:styleId="List6">
    <w:name w:val="List 6"/>
    <w:basedOn w:val="ListBullet"/>
    <w:qFormat/>
    <w:pPr>
      <w:ind w:hanging="0" w:start="4320" w:end="0"/>
    </w:pPr>
    <w:rPr/>
  </w:style>
  <w:style w:type="paragraph" w:styleId="List7">
    <w:name w:val="List 7"/>
    <w:basedOn w:val="ListBullet"/>
    <w:qFormat/>
    <w:pPr>
      <w:ind w:hanging="0" w:start="5040" w:end="0"/>
    </w:pPr>
    <w:rPr/>
  </w:style>
  <w:style w:type="paragraph" w:styleId="Quote1">
    <w:name w:val="Quote 1"/>
    <w:basedOn w:val="Normal"/>
    <w:qFormat/>
    <w:pPr>
      <w:spacing w:before="240" w:after="0"/>
      <w:ind w:hanging="0" w:start="1440" w:end="1440"/>
      <w:jc w:val="start"/>
    </w:pPr>
    <w:rPr>
      <w:kern w:val="0"/>
    </w:rPr>
  </w:style>
  <w:style w:type="paragraph" w:styleId="Quote2">
    <w:name w:val="Quote 2"/>
    <w:basedOn w:val="Quote1"/>
    <w:qFormat/>
    <w:pPr>
      <w:ind w:hanging="0" w:start="2160" w:end="2160"/>
    </w:pPr>
    <w:rPr/>
  </w:style>
  <w:style w:type="paragraph" w:styleId="Quote3">
    <w:name w:val="Quote 3"/>
    <w:basedOn w:val="Quote2"/>
    <w:qFormat/>
    <w:pPr>
      <w:ind w:hanging="0" w:start="2880" w:end="2880"/>
    </w:pPr>
    <w:rPr/>
  </w:style>
  <w:style w:type="paragraph" w:styleId="Quote4">
    <w:name w:val="Quote 4"/>
    <w:basedOn w:val="Quote2"/>
    <w:qFormat/>
    <w:pPr>
      <w:ind w:hanging="0" w:start="3600" w:end="3600"/>
    </w:pPr>
    <w:rPr/>
  </w:style>
  <w:style w:type="paragraph" w:styleId="Quote5">
    <w:name w:val="Quote 5"/>
    <w:basedOn w:val="Quote2"/>
    <w:qFormat/>
    <w:pPr>
      <w:ind w:hanging="0" w:start="4320" w:end="4320"/>
    </w:pPr>
    <w:rPr/>
  </w:style>
  <w:style w:type="paragraph" w:styleId="Quote6">
    <w:name w:val="Quote 6"/>
    <w:basedOn w:val="Quote2"/>
    <w:qFormat/>
    <w:pPr>
      <w:ind w:hanging="0" w:start="4320" w:end="4320"/>
    </w:pPr>
    <w:rPr/>
  </w:style>
  <w:style w:type="paragraph" w:styleId="Quote7">
    <w:name w:val="Quote 7"/>
    <w:basedOn w:val="Quote2"/>
    <w:qFormat/>
    <w:pPr>
      <w:ind w:hanging="0" w:start="4320" w:end="4320"/>
    </w:pPr>
    <w:rPr/>
  </w:style>
  <w:style w:type="paragraph" w:styleId="Quote8">
    <w:name w:val="Quote 8"/>
    <w:basedOn w:val="Quote2"/>
    <w:qFormat/>
    <w:pPr>
      <w:ind w:hanging="0" w:start="4320" w:end="4320"/>
    </w:pPr>
    <w:rPr/>
  </w:style>
  <w:style w:type="paragraph" w:styleId="Quote9">
    <w:name w:val="Quote 9"/>
    <w:basedOn w:val="Quote2"/>
    <w:qFormat/>
    <w:pPr>
      <w:ind w:hanging="0" w:start="4320" w:end="4320"/>
    </w:pPr>
    <w:rPr/>
  </w:style>
  <w:style w:type="paragraph" w:styleId="QuoteFootnote">
    <w:name w:val="Quote Footnote"/>
    <w:basedOn w:val="Normal"/>
    <w:qFormat/>
    <w:pPr>
      <w:spacing w:lineRule="atLeast" w:line="240"/>
      <w:ind w:hanging="0" w:start="1440" w:end="0"/>
      <w:jc w:val="start"/>
    </w:pPr>
    <w:rPr>
      <w:kern w:val="0"/>
    </w:rPr>
  </w:style>
  <w:style w:type="paragraph" w:styleId="TOC1">
    <w:name w:val="toc 1"/>
    <w:basedOn w:val="Normal"/>
    <w:next w:val="Normal"/>
    <w:pPr/>
    <w:rPr/>
  </w:style>
  <w:style w:type="paragraph" w:styleId="TOC4">
    <w:name w:val="toc 4"/>
    <w:basedOn w:val="TOC1"/>
    <w:next w:val="Normal"/>
    <w:pPr>
      <w:tabs>
        <w:tab w:val="clear" w:pos="720"/>
        <w:tab w:val="left" w:pos="2880" w:leader="none"/>
        <w:tab w:val="right" w:pos="8640" w:leader="dot"/>
      </w:tabs>
      <w:spacing w:lineRule="atLeast" w:line="240" w:before="240" w:after="0"/>
      <w:ind w:hanging="720" w:start="2880" w:end="1440"/>
    </w:pPr>
    <w:rPr>
      <w:kern w:val="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Edison 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2001-07-26T22:39:00Z</dcterms:created>
  <dc:creator>Linda Chadsey</dc:creator>
  <dc:description/>
  <dc:language>en-CA</dc:language>
  <cp:lastModifiedBy>Susan Quon</cp:lastModifiedBy>
  <cp:lastPrinted>2001-07-26T17:32:00Z</cp:lastPrinted>
  <dcterms:modified xsi:type="dcterms:W3CDTF">2001-07-26T22:39:00Z</dcterms:modified>
  <cp:revision>2</cp:revision>
  <dc:subject/>
  <dc:title>Elegant Letter</dc:title>
</cp:coreProperties>
</file>