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CA"/>
        </w:rPr>
      </w:pPr>
      <w:r>
        <w:rPr>
          <w:lang w:val="en-CA"/>
        </w:rPr>
        <w:object w:dxaOrig="9015" w:dyaOrig="205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68.4pt;margin-top:-43.2pt;width:302.4pt;height:68.95pt;mso-wrap-distance-left:9.05pt;mso-wrap-distance-right:9.05pt;mso-position-horizontal-relative:text;mso-position-vertical-relative:text" filled="f" o:ole="">
            <v:imagedata r:id="rId3" o:title=""/>
            <w10:wrap type="topAndBottom"/>
          </v:shape>
          <o:OLEObject Type="Embed" ProgID="" ShapeID="ole_rId2" DrawAspect="Content" ObjectID="_667669962" r:id="rId2"/>
        </w:object>
      </w:r>
      <w:r>
        <mc:AlternateContent>
          <mc:Choice Requires="wps">
            <w:drawing>
              <wp:anchor behindDoc="0" distT="0" distB="0" distL="114935" distR="114935" simplePos="0" locked="0" layoutInCell="1" allowOverlap="1" relativeHeight="3">
                <wp:simplePos x="0" y="0"/>
                <wp:positionH relativeFrom="column">
                  <wp:posOffset>4343400</wp:posOffset>
                </wp:positionH>
                <wp:positionV relativeFrom="paragraph">
                  <wp:posOffset>-274320</wp:posOffset>
                </wp:positionV>
                <wp:extent cx="1188720" cy="365760"/>
                <wp:effectExtent l="0" t="0" r="0" b="0"/>
                <wp:wrapNone/>
                <wp:docPr id="1" name="Frame1"/>
                <a:graphic xmlns:a="http://schemas.openxmlformats.org/drawingml/2006/main">
                  <a:graphicData uri="http://schemas.microsoft.com/office/word/2010/wordprocessingShape">
                    <wps:wsp>
                      <wps:cNvSpPr txBox="1"/>
                      <wps:spPr>
                        <a:xfrm>
                          <a:off x="0" y="0"/>
                          <a:ext cx="1188720" cy="365760"/>
                        </a:xfrm>
                        <a:prstGeom prst="rect"/>
                        <a:solidFill>
                          <a:srgbClr val="FFFFFF">
                            <a:alpha val="0"/>
                          </a:srgbClr>
                        </a:solidFill>
                      </wps:spPr>
                      <wps:txbx>
                        <w:txbxContent>
                          <w:p>
                            <w:pPr>
                              <w:pStyle w:val="Normal"/>
                              <w:rPr>
                                <w:sz w:val="17"/>
                              </w:rPr>
                            </w:pPr>
                            <w:r>
                              <w:rPr>
                                <w:sz w:val="17"/>
                              </w:rPr>
                              <w:t xml:space="preserve">California Independent </w:t>
                            </w:r>
                          </w:p>
                          <w:p>
                            <w:pPr>
                              <w:pStyle w:val="Normal"/>
                              <w:rPr>
                                <w:sz w:val="17"/>
                              </w:rPr>
                            </w:pPr>
                            <w:r>
                              <w:rPr>
                                <w:sz w:val="17"/>
                              </w:rPr>
                              <w:t>System Operator</w:t>
                            </w:r>
                          </w:p>
                        </w:txbxContent>
                      </wps:txbx>
                      <wps:bodyPr anchor="t" lIns="92075" tIns="46355" rIns="92075" bIns="46355">
                        <a:noAutofit/>
                      </wps:bodyPr>
                    </wps:wsp>
                  </a:graphicData>
                </a:graphic>
              </wp:anchor>
            </w:drawing>
          </mc:Choice>
          <mc:Fallback>
            <w:pict>
              <v:rect fillcolor="#FFFFFF" style="position:absolute;rotation:-0;width:93.6pt;height:28.8pt;mso-wrap-distance-left:9.05pt;mso-wrap-distance-right:9.05pt;mso-wrap-distance-top:0pt;mso-wrap-distance-bottom:0pt;margin-top:-21.6pt;mso-position-vertical-relative:text;margin-left:342pt;mso-position-horizontal-relative:text">
                <v:fill opacity="0f"/>
                <v:textbox inset="0.100694444444444in,0.0506944444444444in,0.100694444444444in,0.0506944444444444in">
                  <w:txbxContent>
                    <w:p>
                      <w:pPr>
                        <w:pStyle w:val="Normal"/>
                        <w:rPr>
                          <w:sz w:val="17"/>
                        </w:rPr>
                      </w:pPr>
                      <w:r>
                        <w:rPr>
                          <w:sz w:val="17"/>
                        </w:rPr>
                        <w:t xml:space="preserve">California Independent </w:t>
                      </w:r>
                    </w:p>
                    <w:p>
                      <w:pPr>
                        <w:pStyle w:val="Normal"/>
                        <w:rPr>
                          <w:sz w:val="17"/>
                        </w:rPr>
                      </w:pPr>
                      <w:r>
                        <w:rPr>
                          <w:sz w:val="17"/>
                        </w:rPr>
                        <w:t>System Operator</w:t>
                      </w:r>
                    </w:p>
                  </w:txbxContent>
                </v:textbox>
                <w10:wrap type="none"/>
              </v:rect>
            </w:pict>
          </mc:Fallback>
        </mc:AlternateContent>
      </w:r>
    </w:p>
    <w:p>
      <w:pPr>
        <w:pStyle w:val="Normal"/>
        <w:rPr/>
      </w:pPr>
      <w:r>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July 25, 2000</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Eric Saltmarsh, Esq.</w:t>
      </w:r>
    </w:p>
    <w:p>
      <w:pPr>
        <w:pStyle w:val="Normal"/>
        <w:rPr>
          <w:rFonts w:ascii="Times New Roman" w:hAnsi="Times New Roman" w:cs="Times New Roman"/>
        </w:rPr>
      </w:pPr>
      <w:r>
        <w:rPr>
          <w:rFonts w:cs="Times New Roman" w:ascii="Times New Roman" w:hAnsi="Times New Roman"/>
        </w:rPr>
        <w:t>California Electricity Oversight Board</w:t>
      </w:r>
    </w:p>
    <w:p>
      <w:pPr>
        <w:pStyle w:val="Header"/>
        <w:tabs>
          <w:tab w:val="clear" w:pos="4320"/>
          <w:tab w:val="clear" w:pos="8640"/>
        </w:tabs>
        <w:rPr>
          <w:rFonts w:ascii="Times New Roman" w:hAnsi="Times New Roman" w:cs="Times New Roman"/>
        </w:rPr>
      </w:pPr>
      <w:r>
        <w:rPr>
          <w:rFonts w:cs="Times New Roman" w:ascii="Times New Roman" w:hAnsi="Times New Roman"/>
        </w:rPr>
        <w:t>770 L Street, Suite 1250</w:t>
      </w:r>
    </w:p>
    <w:p>
      <w:pPr>
        <w:pStyle w:val="Normal"/>
        <w:rPr>
          <w:rFonts w:ascii="Times New Roman" w:hAnsi="Times New Roman" w:cs="Times New Roman"/>
        </w:rPr>
      </w:pPr>
      <w:r>
        <w:rPr>
          <w:rFonts w:cs="Times New Roman" w:ascii="Times New Roman" w:hAnsi="Times New Roman"/>
        </w:rPr>
        <w:t>Sacramento, CA 95814</w:t>
      </w:r>
    </w:p>
    <w:p>
      <w:pPr>
        <w:pStyle w:val="Normal"/>
        <w:ind w:start="720" w:end="0"/>
        <w:rPr>
          <w:rFonts w:ascii="Times New Roman" w:hAnsi="Times New Roman" w:cs="Times New Roman"/>
        </w:rPr>
      </w:pPr>
      <w:r>
        <w:rPr>
          <w:rFonts w:cs="Times New Roman" w:ascii="Times New Roman" w:hAnsi="Times New Roman"/>
        </w:rPr>
      </w:r>
    </w:p>
    <w:p>
      <w:pPr>
        <w:pStyle w:val="Normal"/>
        <w:ind w:start="720" w:end="0"/>
        <w:rPr>
          <w:rFonts w:ascii="Times New Roman" w:hAnsi="Times New Roman" w:cs="Times New Roman"/>
        </w:rPr>
      </w:pPr>
      <w:r>
        <w:rPr>
          <w:rFonts w:cs="Times New Roman" w:ascii="Times New Roman" w:hAnsi="Times New Roman"/>
        </w:rPr>
        <w:t>RE:</w:t>
        <w:tab/>
        <w:t>California Electricity Oversight Board subpoena dated July 21, 2000</w:t>
        <w:tab/>
        <w:tab/>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Dear Mr. Saltmarsh: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The California Independent System Operator (ISO) provides the information attached in response to a subpoena by the Electricity Oversight Board (EOB) served on the ISO on Friday July 21.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ISO is providing all the information requested by the EOB excluding three types of documents discussed below.  The ISO is hopeful that outstanding issues as to these types of documents can be resolved expeditiously.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Type 1: Confidential information.  On Friday July 21, the EOB provided in addition to the subpoena a letter with your opinions as to confidential treatment of certain information.  You requested additional information as to certain documents.  On July 24, the ISO forwarded to you a letter with further information supporting our request for confidential treatment of data requested in requests numbered (6), (9), and (19).  The ISO is withholding this information pending a response from you to our letter.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Type 2: Information subject to the attorney-client privilege.  In reviewing internal documents requested in data requests numbered 12 and 13, we have determined that a number of documents are subject to the attorney client privilege.  The documents subject to privilege are listed in the attached log.</w:t>
      </w:r>
    </w:p>
    <w:p>
      <w:pPr>
        <w:pStyle w:val="Normal"/>
        <w:rPr>
          <w:rFonts w:ascii="Times New Roman" w:hAnsi="Times New Roman" w:cs="Times New Roman"/>
        </w:rPr>
      </w:pPr>
      <w:r>
        <w:rPr>
          <w:rFonts w:cs="Times New Roman" w:ascii="Times New Roman" w:hAnsi="Times New Roman"/>
        </w:rPr>
      </w:r>
    </w:p>
    <w:p>
      <w:pPr>
        <w:pStyle w:val="Quote"/>
        <w:spacing w:lineRule="auto" w:line="240"/>
        <w:ind w:start="0" w:end="720"/>
        <w:rPr/>
      </w:pPr>
      <w:r>
        <w:rPr/>
        <w:t>Type 3:  Otherwise confidential internal ISO documents.  The EOB July 21 letter invited the ISO to provide further justification for its request that certain information be treated confidentially.  As to a number of internal documents responsive to data requests (12) and (13), the ISO provides additional justification for confidential treatment below.  The ISO is withholding the documents pending a response from the EOB to the arguments set forth herein.</w:t>
      </w:r>
    </w:p>
    <w:p>
      <w:pPr>
        <w:pStyle w:val="Quote"/>
        <w:spacing w:lineRule="auto" w:line="240"/>
        <w:ind w:start="0" w:end="720"/>
        <w:rPr/>
      </w:pPr>
      <w:r>
        <w:rPr/>
      </w:r>
    </w:p>
    <w:p>
      <w:pPr>
        <w:pStyle w:val="Quote"/>
        <w:spacing w:lineRule="auto" w:line="240"/>
        <w:ind w:start="0" w:end="720"/>
        <w:rPr/>
      </w:pPr>
      <w:r>
        <w:rPr/>
        <w:t xml:space="preserve">The documents in question are preliminary internal drafts developed by ISO staff in the context of the ISO decision-making process.  Documents of this kind developed by public entities are subject to the deliberative process privilege.  The ISO recognizes that it is not a public entity.  However, ISO management must routinely develop important policy recommendations as to significant matters affecting California’s electric industry, usually for presentation to the ISO Governing Board.  In this context, the ISO believes that the policy reasons for affording public entities a deliberative process exemption apply to the ISO.  As with a public entity, it would be contrary to the public interest to discourage candid discussion within the decision making process of the ISO.  See </w:t>
      </w:r>
      <w:r>
        <w:rPr>
          <w:i/>
        </w:rPr>
        <w:t>California First Amendment Coalition v. Superior Court</w:t>
      </w:r>
      <w:r>
        <w:rPr/>
        <w:t>, 67 Cal. App. 4</w:t>
      </w:r>
      <w:r>
        <w:rPr>
          <w:vertAlign w:val="superscript"/>
        </w:rPr>
        <w:t>th</w:t>
      </w:r>
      <w:r>
        <w:rPr/>
        <w:t xml:space="preserve"> 159, 170 (1998).  </w:t>
      </w:r>
    </w:p>
    <w:p>
      <w:pPr>
        <w:pStyle w:val="Quote"/>
        <w:spacing w:lineRule="auto" w:line="240"/>
        <w:rPr/>
      </w:pPr>
      <w:r>
        <w:rPr/>
      </w:r>
    </w:p>
    <w:p>
      <w:pPr>
        <w:pStyle w:val="Quote"/>
        <w:spacing w:lineRule="auto" w:line="240"/>
        <w:ind w:start="0" w:end="720"/>
        <w:rPr/>
      </w:pPr>
      <w:r>
        <w:rPr/>
        <w:t xml:space="preserve">If the EOB determines that the deliberative process privilege cannot be applied to the ISO, the ISO argues in the alternative that the documents should be afforded confidential treatment by the EOB as sensitive business information.  In determining whether to grant confidential treatment to sensitive business information it is important to balance competing factors, including the purpose of the information sought, the effect that disclosure will have on the parties, the nature of the objections urged by the party resisting disclosure, and ability to grant partial disclosure, disclosure in another form, or disclosure only in the event that the party seeking the information undertakes certain specified burdens which appear just under the circumstances . . . .”  See </w:t>
      </w:r>
      <w:r>
        <w:rPr>
          <w:i/>
        </w:rPr>
        <w:t>Hoffman Corp. V. Superior Court</w:t>
      </w:r>
      <w:r>
        <w:rPr/>
        <w:t xml:space="preserve">, 172  Cal. App. 3d 357, 358 (1985).  In this case, the ISO considers that the EOB can undertake a full investigation while maintaining the confidentiality of preliminary internal ISO drafts, and thus without having an adverse impact on the candor of preliminary internal ISO discussions on significant policy issues.  </w:t>
      </w:r>
    </w:p>
    <w:p>
      <w:pPr>
        <w:pStyle w:val="Quote"/>
        <w:spacing w:lineRule="auto" w:line="240"/>
        <w:ind w:start="0" w:end="720"/>
        <w:rPr/>
      </w:pPr>
      <w:r>
        <w:rPr/>
      </w:r>
    </w:p>
    <w:p>
      <w:pPr>
        <w:pStyle w:val="Quote"/>
        <w:spacing w:lineRule="auto" w:line="240"/>
        <w:ind w:start="0" w:end="720"/>
        <w:rPr/>
      </w:pPr>
      <w:r>
        <w:rPr/>
        <w:t>The ISO looks forward to hearing back from the EOB as to outstanding types of information and stands ready to answer any further questions posed by the EOB as it reviews the data it is receiving today.</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Sincerely,</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Jeanne M. Sole</w:t>
      </w:r>
    </w:p>
    <w:p>
      <w:pPr>
        <w:pStyle w:val="BodyText"/>
        <w:rPr>
          <w:rFonts w:ascii="Times New Roman" w:hAnsi="Times New Roman" w:cs="Times New Roman"/>
        </w:rPr>
      </w:pPr>
      <w:r>
        <w:rPr>
          <w:rFonts w:cs="Times New Roman" w:ascii="Times New Roman" w:hAnsi="Times New Roman"/>
        </w:rPr>
        <w:t>Regulatory Counsel</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sectPr>
      <w:footerReference w:type="defaul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sz w:val="20"/>
      </w:rPr>
      <w:t>151 Blue Ravine Road               Folsom, CA  95630               (916) 351-4400</w:t>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Narrow" w:hAnsi="Arial Narrow" w:eastAsia="Times New Roman" w:cs="Arial Narrow"/>
      <w:color w:val="auto"/>
      <w:sz w:val="24"/>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540" w:leader="none"/>
        <w:tab w:val="left" w:pos="990" w:leader="none"/>
      </w:tabs>
      <w:ind w:hanging="540" w:start="540" w:end="0"/>
    </w:pPr>
    <w:rPr>
      <w:rFonts w:ascii="Times New Roman" w:hAnsi="Times New Roman" w:cs="Times New Roman"/>
      <w:sz w:val="22"/>
    </w:rPr>
  </w:style>
  <w:style w:type="paragraph" w:styleId="BodyTextIndent2">
    <w:name w:val="Body Text Indent 2"/>
    <w:basedOn w:val="Normal"/>
    <w:qFormat/>
    <w:pPr>
      <w:tabs>
        <w:tab w:val="clear" w:pos="720"/>
        <w:tab w:val="left" w:pos="90" w:leader="none"/>
        <w:tab w:val="left" w:pos="540" w:leader="none"/>
      </w:tabs>
      <w:ind w:hanging="360" w:start="360" w:end="0"/>
    </w:pPr>
    <w:rPr>
      <w:sz w:val="22"/>
    </w:rPr>
  </w:style>
  <w:style w:type="paragraph" w:styleId="BodyTextIndent3">
    <w:name w:val="Body Text Indent 3"/>
    <w:basedOn w:val="Normal"/>
    <w:qFormat/>
    <w:pPr>
      <w:tabs>
        <w:tab w:val="clear" w:pos="720"/>
        <w:tab w:val="left" w:pos="360" w:leader="none"/>
        <w:tab w:val="left" w:pos="540" w:leader="none"/>
      </w:tabs>
      <w:ind w:hanging="0" w:start="360"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Quote">
    <w:name w:val="Quote"/>
    <w:basedOn w:val="Normal"/>
    <w:next w:val="BodyText"/>
    <w:qFormat/>
    <w:pPr>
      <w:spacing w:lineRule="atLeast" w:line="240"/>
      <w:ind w:hanging="0" w:start="720" w:end="720"/>
    </w:pPr>
    <w:rPr>
      <w:rFonts w:ascii="Times New Roman" w:hAnsi="Times New Roman" w:cs="Times New Roman"/>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2000-07-25T19:02:00Z</dcterms:created>
  <dc:creator>FLong</dc:creator>
  <dc:description/>
  <dc:language>en-CA</dc:language>
  <cp:lastModifiedBy>JSole</cp:lastModifiedBy>
  <cp:lastPrinted>2000-07-25T15:41:00Z</cp:lastPrinted>
  <dcterms:modified xsi:type="dcterms:W3CDTF">2000-07-26T20:36:00Z</dcterms:modified>
  <cp:revision>6</cp:revision>
  <dc:subject/>
  <dc:title>January 28, 2000</dc:title>
</cp:coreProperties>
</file>