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rHeight w:val="280" w:hRule="exact"/>
        </w:trPr>
        <w:tc>
          <w:tcPr>
            <w:tcW w:w="4428" w:type="dxa"/>
            <w:tcBorders/>
          </w:tcPr>
          <w:p>
            <w:pPr>
              <w:pStyle w:val="Normal"/>
              <w:rPr>
                <w:sz w:val="26"/>
              </w:rPr>
            </w:pPr>
            <w:r>
              <w:rPr>
                <w:b/>
                <w:sz w:val="26"/>
              </w:rPr>
              <w:t>State of California</w:t>
            </w:r>
          </w:p>
        </w:tc>
        <w:tc>
          <w:tcPr>
            <w:tcW w:w="4428" w:type="dxa"/>
            <w:tcBorders/>
          </w:tcPr>
          <w:p>
            <w:pPr>
              <w:pStyle w:val="Normal"/>
              <w:jc w:val="end"/>
              <w:rPr>
                <w:b/>
                <w:sz w:val="26"/>
              </w:rPr>
            </w:pPr>
            <w:r>
              <w:rPr>
                <w:b/>
                <w:sz w:val="26"/>
              </w:rPr>
              <w:t>Public Utilities Commission</w:t>
            </w:r>
          </w:p>
          <w:p>
            <w:pPr>
              <w:pStyle w:val="Normal"/>
              <w:rPr>
                <w:b/>
                <w:sz w:val="26"/>
              </w:rPr>
            </w:pPr>
            <w:r>
              <w:rPr>
                <w:b/>
                <w:sz w:val="26"/>
              </w:rPr>
            </w:r>
          </w:p>
        </w:tc>
      </w:tr>
      <w:tr>
        <w:trPr/>
        <w:tc>
          <w:tcPr>
            <w:tcW w:w="4428" w:type="dxa"/>
            <w:tcBorders/>
          </w:tcPr>
          <w:p>
            <w:pPr>
              <w:pStyle w:val="Normal"/>
              <w:snapToGrid w:val="false"/>
              <w:rPr>
                <w:sz w:val="26"/>
              </w:rPr>
            </w:pPr>
            <w:r>
              <w:rPr>
                <w:sz w:val="26"/>
              </w:rPr>
            </w:r>
          </w:p>
        </w:tc>
        <w:tc>
          <w:tcPr>
            <w:tcW w:w="4428" w:type="dxa"/>
            <w:tcBorders/>
          </w:tcPr>
          <w:p>
            <w:pPr>
              <w:pStyle w:val="Normal"/>
              <w:jc w:val="end"/>
              <w:rPr>
                <w:sz w:val="26"/>
              </w:rPr>
            </w:pPr>
            <w:r>
              <w:rPr>
                <w:b/>
                <w:sz w:val="26"/>
              </w:rPr>
              <w:t>San Francisco</w:t>
            </w:r>
          </w:p>
        </w:tc>
      </w:tr>
      <w:tr>
        <w:trPr/>
        <w:tc>
          <w:tcPr>
            <w:tcW w:w="4428" w:type="dxa"/>
            <w:tcBorders/>
          </w:tcPr>
          <w:p>
            <w:pPr>
              <w:pStyle w:val="Normal"/>
              <w:snapToGrid w:val="false"/>
              <w:rPr>
                <w:sz w:val="26"/>
              </w:rPr>
            </w:pPr>
            <w:r>
              <w:rPr>
                <w:sz w:val="26"/>
              </w:rPr>
            </w:r>
          </w:p>
        </w:tc>
        <w:tc>
          <w:tcPr>
            <w:tcW w:w="4428" w:type="dxa"/>
            <w:tcBorders/>
          </w:tcPr>
          <w:p>
            <w:pPr>
              <w:pStyle w:val="Normal"/>
              <w:snapToGrid w:val="false"/>
              <w:rPr>
                <w:sz w:val="26"/>
              </w:rPr>
            </w:pPr>
            <w:r>
              <w:rPr>
                <w:sz w:val="26"/>
              </w:rPr>
            </w:r>
          </w:p>
        </w:tc>
      </w:tr>
      <w:tr>
        <w:trPr/>
        <w:tc>
          <w:tcPr>
            <w:tcW w:w="4428" w:type="dxa"/>
            <w:tcBorders/>
          </w:tcPr>
          <w:p>
            <w:pPr>
              <w:pStyle w:val="Normal"/>
              <w:rPr>
                <w:sz w:val="26"/>
              </w:rPr>
            </w:pPr>
            <w:r>
              <w:rPr>
                <w:b/>
                <w:sz w:val="26"/>
              </w:rPr>
              <w:t>M E M O R A N D U M</w:t>
            </w:r>
          </w:p>
        </w:tc>
        <w:tc>
          <w:tcPr>
            <w:tcW w:w="4428" w:type="dxa"/>
            <w:tcBorders/>
          </w:tcPr>
          <w:p>
            <w:pPr>
              <w:pStyle w:val="Normal"/>
              <w:snapToGrid w:val="false"/>
              <w:jc w:val="center"/>
              <w:rPr>
                <w:sz w:val="26"/>
                <w:u w:val="single"/>
              </w:rPr>
            </w:pPr>
            <w:r>
              <w:rPr>
                <w:sz w:val="26"/>
                <w:u w:val="single"/>
              </w:rPr>
            </w:r>
          </w:p>
        </w:tc>
      </w:tr>
      <w:tr>
        <w:trPr/>
        <w:tc>
          <w:tcPr>
            <w:tcW w:w="4428" w:type="dxa"/>
            <w:tcBorders/>
          </w:tcPr>
          <w:p>
            <w:pPr>
              <w:pStyle w:val="Normal"/>
              <w:snapToGrid w:val="false"/>
              <w:rPr>
                <w:sz w:val="26"/>
                <w:u w:val="single"/>
              </w:rPr>
            </w:pPr>
            <w:r>
              <w:rPr>
                <w:sz w:val="26"/>
                <w:u w:val="single"/>
              </w:rPr>
            </w:r>
          </w:p>
        </w:tc>
        <w:tc>
          <w:tcPr>
            <w:tcW w:w="4428" w:type="dxa"/>
            <w:tcBorders/>
          </w:tcPr>
          <w:p>
            <w:pPr>
              <w:pStyle w:val="Normal"/>
              <w:snapToGrid w:val="false"/>
              <w:jc w:val="end"/>
              <w:rPr>
                <w:sz w:val="26"/>
              </w:rPr>
            </w:pPr>
            <w:r>
              <w:rPr>
                <w:sz w:val="26"/>
              </w:rPr>
            </w:r>
          </w:p>
        </w:tc>
      </w:tr>
    </w:tbl>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Pr>
    </w:p>
    <w:p>
      <w:pPr>
        <w:pStyle w:val="Normal"/>
        <w:tabs>
          <w:tab w:val="clear" w:pos="144"/>
          <w:tab w:val="left" w:pos="900" w:leader="none"/>
          <w:tab w:val="left" w:pos="1440" w:leader="none"/>
        </w:tabs>
        <w:rPr>
          <w:b/>
          <w:sz w:val="26"/>
        </w:rPr>
      </w:pPr>
      <w:r>
        <w:rPr>
          <w:b/>
          <w:sz w:val="26"/>
        </w:rPr>
        <w:t>Date</w:t>
        <w:tab/>
        <w:t>:</w:t>
        <w:tab/>
        <w:t xml:space="preserve">7/26/00    4:00 p.m.  </w:t>
      </w:r>
    </w:p>
    <w:p>
      <w:pPr>
        <w:pStyle w:val="Normal"/>
        <w:tabs>
          <w:tab w:val="clear" w:pos="144"/>
          <w:tab w:val="left" w:pos="900" w:leader="none"/>
          <w:tab w:val="left" w:pos="1440" w:leader="none"/>
        </w:tabs>
        <w:rPr>
          <w:b/>
          <w:sz w:val="26"/>
        </w:rPr>
      </w:pPr>
      <w:r>
        <w:rPr>
          <w:b/>
          <w:sz w:val="26"/>
        </w:rPr>
      </w:r>
    </w:p>
    <w:p>
      <w:pPr>
        <w:pStyle w:val="Normal"/>
        <w:tabs>
          <w:tab w:val="clear" w:pos="144"/>
          <w:tab w:val="left" w:pos="900" w:leader="none"/>
          <w:tab w:val="left" w:pos="1440" w:leader="none"/>
        </w:tabs>
        <w:rPr>
          <w:b/>
          <w:sz w:val="26"/>
        </w:rPr>
      </w:pPr>
      <w:r>
        <w:rPr>
          <w:b/>
          <w:sz w:val="26"/>
        </w:rPr>
        <w:t>To</w:t>
        <w:tab/>
        <w:t>:</w:t>
        <w:tab/>
        <w:t xml:space="preserve">Jeanne Sole´, Regulatory Counsel </w:t>
      </w:r>
    </w:p>
    <w:p>
      <w:pPr>
        <w:pStyle w:val="Normal"/>
        <w:tabs>
          <w:tab w:val="clear" w:pos="144"/>
          <w:tab w:val="left" w:pos="900" w:leader="none"/>
          <w:tab w:val="left" w:pos="1440" w:leader="none"/>
        </w:tabs>
        <w:rPr>
          <w:b/>
          <w:sz w:val="26"/>
        </w:rPr>
      </w:pPr>
      <w:r>
        <w:rPr>
          <w:b/>
          <w:sz w:val="26"/>
        </w:rPr>
        <w:tab/>
        <w:tab/>
        <w:t xml:space="preserve">California Independent System Operator  </w:t>
      </w:r>
    </w:p>
    <w:p>
      <w:pPr>
        <w:pStyle w:val="Normal"/>
        <w:tabs>
          <w:tab w:val="clear" w:pos="144"/>
          <w:tab w:val="left" w:pos="900" w:leader="none"/>
          <w:tab w:val="left" w:pos="1440" w:leader="none"/>
        </w:tabs>
        <w:rPr>
          <w:b/>
          <w:sz w:val="26"/>
        </w:rPr>
      </w:pPr>
      <w:r>
        <w:rPr>
          <w:b/>
          <w:sz w:val="26"/>
        </w:rPr>
      </w:r>
    </w:p>
    <w:p>
      <w:pPr>
        <w:pStyle w:val="Normal"/>
        <w:tabs>
          <w:tab w:val="clear" w:pos="144"/>
          <w:tab w:val="left" w:pos="900" w:leader="none"/>
          <w:tab w:val="left" w:pos="1440" w:leader="none"/>
        </w:tabs>
        <w:rPr>
          <w:b/>
          <w:sz w:val="26"/>
        </w:rPr>
      </w:pPr>
      <w:r>
        <w:rPr>
          <w:b/>
          <w:sz w:val="26"/>
        </w:rPr>
        <w:t>From</w:t>
        <w:tab/>
        <w:t>:</w:t>
        <w:tab/>
        <w:t>Joel T. Perlstein, PU Counsel IV</w:t>
      </w:r>
    </w:p>
    <w:p>
      <w:pPr>
        <w:pStyle w:val="Normal"/>
        <w:tabs>
          <w:tab w:val="clear" w:pos="144"/>
          <w:tab w:val="left" w:pos="900" w:leader="none"/>
          <w:tab w:val="left" w:pos="1440" w:leader="none"/>
        </w:tabs>
        <w:rPr>
          <w:b/>
          <w:sz w:val="26"/>
        </w:rPr>
      </w:pPr>
      <w:r>
        <w:rPr>
          <w:b/>
          <w:sz w:val="26"/>
        </w:rPr>
      </w:r>
    </w:p>
    <w:p>
      <w:pPr>
        <w:pStyle w:val="Normal"/>
        <w:tabs>
          <w:tab w:val="clear" w:pos="144"/>
          <w:tab w:val="left" w:pos="900" w:leader="none"/>
          <w:tab w:val="left" w:pos="1440" w:leader="none"/>
        </w:tabs>
        <w:rPr>
          <w:b/>
          <w:sz w:val="26"/>
        </w:rPr>
      </w:pPr>
      <w:r>
        <w:rPr>
          <w:b/>
          <w:sz w:val="26"/>
        </w:rPr>
        <w:t>Subject</w:t>
        <w:tab/>
        <w:t>:</w:t>
        <w:tab/>
        <w:t>LEGAL DIVISION STAFF DRAFT OF</w:t>
      </w:r>
    </w:p>
    <w:p>
      <w:pPr>
        <w:pStyle w:val="Normal"/>
        <w:tabs>
          <w:tab w:val="clear" w:pos="144"/>
          <w:tab w:val="left" w:pos="900" w:leader="none"/>
          <w:tab w:val="left" w:pos="1440" w:leader="none"/>
        </w:tabs>
        <w:rPr>
          <w:b/>
          <w:sz w:val="26"/>
        </w:rPr>
      </w:pPr>
      <w:r>
        <w:rPr>
          <w:b/>
          <w:sz w:val="26"/>
        </w:rPr>
        <w:tab/>
        <w:tab/>
        <w:t xml:space="preserve">CONFIDENTIALITY PROPOSAL </w:t>
      </w:r>
    </w:p>
    <w:p>
      <w:pPr>
        <w:pStyle w:val="Normal"/>
        <w:tabs>
          <w:tab w:val="clear" w:pos="144"/>
          <w:tab w:val="left" w:pos="1800" w:leader="none"/>
          <w:tab w:val="left" w:pos="2160" w:leader="none"/>
        </w:tabs>
        <w:rPr>
          <w:b/>
          <w:sz w:val="26"/>
        </w:rPr>
      </w:pPr>
      <w:r>
        <w:rPr>
          <w:b/>
          <w:sz w:val="26"/>
        </w:rPr>
      </w:r>
    </w:p>
    <w:p>
      <w:pPr>
        <w:sectPr>
          <w:type w:val="continuous"/>
          <w:pgSz w:w="12240" w:h="15840"/>
          <w:pgMar w:left="1800" w:right="1800" w:gutter="0" w:header="0" w:top="1440" w:footer="720" w:bottom="1440"/>
          <w:formProt w:val="false"/>
          <w:titlePg/>
          <w:textDirection w:val="lrTb"/>
          <w:docGrid w:type="default" w:linePitch="360" w:charSpace="0"/>
        </w:sectPr>
      </w:pPr>
    </w:p>
    <w:p>
      <w:pPr>
        <w:pStyle w:val="BodyText"/>
        <w:rPr/>
      </w:pPr>
      <w:r>
        <w:rPr/>
        <w:t xml:space="preserve">The following is a draft proposal for handling the confidentiality issues we have been discussing.  It separately addresses the materials also sought by the EOB (CPUC Data Request #3) and the other materials sought only by the CPUC.  Please let me know promptly if you are in agreement with the concepts set forth below.  If so, we should discuss any refinements in language that may be needed.  Also please contact me promptly if you have any questions.   </w:t>
      </w:r>
    </w:p>
    <w:p>
      <w:pPr>
        <w:pStyle w:val="BodyText"/>
        <w:rPr/>
      </w:pPr>
      <w:r>
        <w:rPr/>
        <w:t xml:space="preserve">The CPUC’s Data Request #3 asks for the same information as requested in the Energy Oversight Board (EOB) subpoena.  In his letter of July 20, 2000 to the ISO, Erik Saltmarsh, Chief Counsel of the EOB, stated with regard to specified information sought by the EOB his opinion that “[I]n the current circumstance, it is appropriate for the EOB to treat this information as confidential and non-public consistent with Section 6255 of the Government Code.”  The information referred to in that sentence has now been supplied to the EOB.  We propose that the ISO provide that same information to the CPUC immediately, based upon an opinion by the CPUC’s attorney that:  in the current circumstance it is appropriate for the CPUC to treat this same information as confidential and non-public consistent with Section 6255 of the Government Code.  The ISO will also give the CPUC all further information sought by the EOB subpoena, as soon as it provides it to the EOB, provided that the CPUC gives the same kinds of written assurances with regard to confidentiality as the EOB does.     </w:t>
      </w:r>
    </w:p>
    <w:p>
      <w:pPr>
        <w:pStyle w:val="BodyText"/>
        <w:rPr/>
      </w:pPr>
      <w:r>
        <w:rPr/>
        <w:t xml:space="preserve">The following paragraph applies to the information sought by, but not yet provided to the CPUC in response to, our data requests Nos. 2 and 4 that is designated as confidential by section 20.3.2 of the ISO’s FERC tariff.   The ISO will immediately provide the CPUC with justification as to why this information should be treated as confidential and non-public consistent with Section 6255 of the Government Code.  The CPUC’s Legal Division will promptly review this material and endeavor to opine, as to as much of the material as possible, that “in the current circumstance it is appropriate for the CPUC to treat this information as confidential and non-public consistent with Section 6255 of the Government Code.”  However, the ISO will provide </w:t>
      </w:r>
      <w:r>
        <w:rPr>
          <w:u w:val="single"/>
        </w:rPr>
        <w:t>all</w:t>
      </w:r>
      <w:r>
        <w:rPr/>
        <w:t xml:space="preserve"> of the subpoenaed information to the CPUC by noon on Friday, July 28, 2000, whether or not the CPUC has by that date opined on the applicability of Government Code Section 6255 to the particular information.  </w:t>
      </w:r>
    </w:p>
    <w:p>
      <w:pPr>
        <w:pStyle w:val="BodyText"/>
        <w:rPr/>
      </w:pPr>
      <w:r>
        <w:rPr/>
      </w:r>
    </w:p>
    <w:p>
      <w:pPr>
        <w:pStyle w:val="BodyText"/>
        <w:spacing w:before="0" w:after="480"/>
        <w:rPr/>
      </w:pPr>
      <w:r>
        <w:rPr/>
      </w:r>
    </w:p>
    <w:sectPr>
      <w:type w:val="continuous"/>
      <w:pgSz w:w="12240" w:h="15840"/>
      <w:pgMar w:left="1800" w:right="1800" w:gutter="0" w:header="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90"/>
  <w:defaultTabStop w:val="144"/>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BodyText"/>
    <w:next w:val="Normal"/>
    <w:qFormat/>
    <w:pPr>
      <w:keepNext w:val="true"/>
      <w:numPr>
        <w:ilvl w:val="0"/>
        <w:numId w:val="1"/>
      </w:numPr>
      <w:spacing w:before="240" w:after="60"/>
      <w:outlineLvl w:val="0"/>
    </w:pPr>
    <w:rPr>
      <w:kern w:val="2"/>
      <w:sz w:val="28"/>
    </w:rPr>
  </w:style>
  <w:style w:type="paragraph" w:styleId="Heading2">
    <w:name w:val="heading 2"/>
    <w:basedOn w:val="Heading1"/>
    <w:next w:val="Normal"/>
    <w:qFormat/>
    <w:pPr>
      <w:numPr>
        <w:ilvl w:val="1"/>
        <w:numId w:val="1"/>
      </w:numPr>
      <w:outlineLvl w:val="1"/>
    </w:pPr>
    <w:rPr>
      <w:sz w:val="24"/>
    </w:rPr>
  </w:style>
  <w:style w:type="paragraph" w:styleId="Heading3">
    <w:name w:val="heading 3"/>
    <w:basedOn w:val="Heading2"/>
    <w:next w:val="Normal"/>
    <w:qFormat/>
    <w:pPr>
      <w:numPr>
        <w:ilvl w:val="2"/>
        <w:numId w:val="1"/>
      </w:numPr>
      <w:outlineLvl w:val="2"/>
    </w:pPr>
    <w:rPr/>
  </w:style>
  <w:style w:type="paragraph" w:styleId="Heading4">
    <w:name w:val="heading 4"/>
    <w:basedOn w:val="Heading3"/>
    <w:next w:val="Normal"/>
    <w:qFormat/>
    <w:pPr>
      <w:numPr>
        <w:ilvl w:val="3"/>
        <w:numId w:val="1"/>
      </w:numPr>
      <w:outlineLvl w:val="3"/>
    </w:pPr>
    <w:rPr/>
  </w:style>
  <w:style w:type="paragraph" w:styleId="Heading5">
    <w:name w:val="heading 5"/>
    <w:basedOn w:val="Heading4"/>
    <w:next w:val="Normal"/>
    <w:qFormat/>
    <w:pPr>
      <w:numPr>
        <w:ilvl w:val="4"/>
        <w:numId w:val="1"/>
      </w:numPr>
      <w:outlineLvl w:val="4"/>
    </w:pPr>
    <w:rPr>
      <w:sz w:val="22"/>
    </w:rPr>
  </w:style>
  <w:style w:type="paragraph" w:styleId="Heading6">
    <w:name w:val="heading 6"/>
    <w:basedOn w:val="Heading5"/>
    <w:next w:val="Normal"/>
    <w:qFormat/>
    <w:pPr>
      <w:numPr>
        <w:ilvl w:val="5"/>
        <w:numId w:val="1"/>
      </w:numPr>
      <w:outlineLvl w:val="5"/>
    </w:pPr>
    <w:rPr/>
  </w:style>
  <w:style w:type="paragraph" w:styleId="Heading7">
    <w:name w:val="heading 7"/>
    <w:basedOn w:val="Heading6"/>
    <w:next w:val="Normal"/>
    <w:qFormat/>
    <w:pPr>
      <w:numPr>
        <w:ilvl w:val="6"/>
        <w:numId w:val="1"/>
      </w:numPr>
      <w:outlineLvl w:val="6"/>
    </w:pPr>
    <w:rPr/>
  </w:style>
  <w:style w:type="paragraph" w:styleId="Heading8">
    <w:name w:val="heading 8"/>
    <w:basedOn w:val="Heading7"/>
    <w:next w:val="Normal"/>
    <w:qFormat/>
    <w:pPr>
      <w:numPr>
        <w:ilvl w:val="7"/>
        <w:numId w:val="1"/>
      </w:numPr>
      <w:outlineLvl w:val="7"/>
    </w:pPr>
    <w:rPr>
      <w:i/>
    </w:rPr>
  </w:style>
  <w:style w:type="paragraph" w:styleId="Heading9">
    <w:name w:val="heading 9"/>
    <w:basedOn w:val="Heading8"/>
    <w:next w:val="Normal"/>
    <w:qFormat/>
    <w:pPr>
      <w:numPr>
        <w:ilvl w:val="8"/>
        <w:numId w:val="1"/>
      </w:numPr>
      <w:tabs>
        <w:tab w:val="clear" w:pos="144"/>
        <w:tab w:val="left" w:pos="360" w:leader="none"/>
      </w:tabs>
      <w:outlineLvl w:val="8"/>
    </w:pPr>
    <w:rPr>
      <w:b/>
      <w:i w:val="false"/>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480"/>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44"/>
        <w:tab w:val="center" w:pos="4986" w:leader="none"/>
        <w:tab w:val="right" w:pos="9972" w:leader="none"/>
      </w:tabs>
    </w:pPr>
    <w:rPr/>
  </w:style>
  <w:style w:type="paragraph" w:styleId="Header">
    <w:name w:val="header"/>
    <w:basedOn w:val="Normal"/>
    <w:pPr>
      <w:tabs>
        <w:tab w:val="clear" w:pos="144"/>
        <w:tab w:val="center" w:pos="4320" w:leader="none"/>
        <w:tab w:val="right" w:pos="8640" w:leader="none"/>
      </w:tabs>
    </w:pPr>
    <w:rPr/>
  </w:style>
  <w:style w:type="paragraph" w:styleId="Footer">
    <w:name w:val="footer"/>
    <w:basedOn w:val="Normal"/>
    <w:pPr>
      <w:tabs>
        <w:tab w:val="clear" w:pos="144"/>
        <w:tab w:val="center" w:pos="4320" w:leader="none"/>
        <w:tab w:val="right" w:pos="8640" w:leader="none"/>
      </w:tabs>
    </w:pPr>
    <w:rPr/>
  </w:style>
  <w:style w:type="paragraph" w:styleId="Quotation">
    <w:name w:val="Quotation"/>
    <w:basedOn w:val="BodyText"/>
    <w:next w:val="BodyText"/>
    <w:qFormat/>
    <w:pPr>
      <w:spacing w:before="0" w:after="120"/>
      <w:ind w:hanging="0" w:start="1440" w:end="1440"/>
    </w:pPr>
    <w:rPr/>
  </w:style>
  <w:style w:type="paragraph" w:styleId="InsideAddress">
    <w:name w:val="Inside Address"/>
    <w:basedOn w:val="Normal"/>
    <w:next w:val="Normal"/>
    <w:qFormat/>
    <w:pPr>
      <w:keepLines/>
      <w:ind w:hanging="0" w:start="0" w:end="432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Confidential 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2000-07-26T21:24:00Z</dcterms:created>
  <dc:creator>Joel T. Perlstein</dc:creator>
  <dc:description/>
  <dc:language>en-CA</dc:language>
  <cp:lastModifiedBy>JSole</cp:lastModifiedBy>
  <cp:lastPrinted>2000-07-26T16:02:00Z</cp:lastPrinted>
  <dcterms:modified xsi:type="dcterms:W3CDTF">2000-07-26T21:24:00Z</dcterms:modified>
  <cp:revision>2</cp:revision>
  <dc:subject/>
  <dc:title>State of California	</dc:title>
</cp:coreProperties>
</file>