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27.wmf" ContentType="image/x-wmf"/>
  <Override PartName="/word/media/image26.wmf" ContentType="image/x-wmf"/>
  <Override PartName="/word/media/image7.wmf" ContentType="image/x-wmf"/>
  <Override PartName="/word/media/image16.wmf" ContentType="image/x-wmf"/>
  <Override PartName="/word/media/image11.wmf" ContentType="image/x-wmf"/>
  <Override PartName="/word/media/image17.wmf" ContentType="image/x-wmf"/>
  <Override PartName="/word/media/image8.wmf" ContentType="image/x-wmf"/>
  <Override PartName="/word/media/image12.wmf" ContentType="image/x-wmf"/>
  <Override PartName="/word/media/image3.wmf" ContentType="image/x-wmf"/>
  <Override PartName="/word/media/image18.wmf" ContentType="image/x-wmf"/>
  <Override PartName="/word/media/image20.wmf" ContentType="image/x-wmf"/>
  <Override PartName="/word/media/image9.wmf" ContentType="image/x-wmf"/>
  <Override PartName="/word/media/image4.wmf" ContentType="image/x-wmf"/>
  <Override PartName="/word/media/image13.wmf" ContentType="image/x-wmf"/>
  <Override PartName="/word/media/image30.wmf" ContentType="image/x-wmf"/>
  <Override PartName="/word/media/image1.png" ContentType="image/png"/>
  <Override PartName="/word/media/image28.wmf" ContentType="image/x-wmf"/>
  <Override PartName="/word/media/image31.wmf" ContentType="image/x-wmf"/>
  <Override PartName="/word/media/image2.png" ContentType="image/png"/>
  <Override PartName="/word/media/image29.wmf" ContentType="image/x-wmf"/>
  <Override PartName="/word/media/image10.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16.xml" ContentType="application/vnd.openxmlformats-officedocument.wordprocessingml.footer+xml"/>
  <Override PartName="/word/footer23.xml" ContentType="application/vnd.openxmlformats-officedocument.wordprocessingml.footer+xml"/>
  <Override PartName="/word/comments.xml" ContentType="application/vnd.openxmlformats-officedocument.wordprocessingml.comments+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xlsx" ContentType="application/vnd.openxmlformats-officedocument.spreadsheetml.sheet"/>
  <Override PartName="/word/embeddings/oleObject3.bin" ContentType="application/vnd.openxmlformats-officedocument.oleObject"/>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pacing w:before="1080" w:after="1080"/>
        <w:outlineLvl w:val="0"/>
        <w:rPr/>
      </w:pPr>
      <w:r>
        <w:rPr/>
        <w:t>Confidential Private Placement Memorandum</w:t>
      </w:r>
    </w:p>
    <w:p>
      <w:pPr>
        <w:pStyle w:val="Normal"/>
        <w:numPr>
          <w:ilvl w:val="0"/>
          <w:numId w:val="0"/>
        </w:numPr>
        <w:spacing w:before="120" w:after="0"/>
        <w:jc w:val="center"/>
        <w:outlineLvl w:val="0"/>
        <w:rPr>
          <w:b/>
          <w:sz w:val="64"/>
        </w:rPr>
      </w:pPr>
      <w:r>
        <w:rPr>
          <w:b/>
          <w:sz w:val="64"/>
        </w:rPr>
        <w:t xml:space="preserve">Enron Net Works </w:t>
      </w:r>
      <w:r>
        <w:rPr>
          <w:b/>
          <w:sz w:val="64"/>
          <w:highlight w:val="yellow"/>
        </w:rPr>
        <w:t>Partners</w:t>
      </w:r>
    </w:p>
    <w:p>
      <w:pPr>
        <w:pStyle w:val="Normal"/>
        <w:numPr>
          <w:ilvl w:val="0"/>
          <w:numId w:val="0"/>
        </w:numPr>
        <w:spacing w:before="0" w:after="960"/>
        <w:jc w:val="center"/>
        <w:outlineLvl w:val="0"/>
        <w:rPr>
          <w:b/>
          <w:sz w:val="44"/>
        </w:rPr>
      </w:pPr>
      <w:r>
        <w:rPr>
          <w:b/>
          <w:i/>
          <w:sz w:val="44"/>
        </w:rPr>
        <w:t>Transforming Old Economy Industries</w:t>
      </w:r>
    </w:p>
    <w:p>
      <w:pPr>
        <w:pStyle w:val="Normal"/>
        <w:spacing w:lineRule="auto" w:line="480"/>
        <w:jc w:val="center"/>
        <w:rPr>
          <w:b/>
          <w:sz w:val="44"/>
          <w:lang w:val="en-CA"/>
        </w:rPr>
      </w:pPr>
      <w:r>
        <w:rPr>
          <w:b/>
          <w:sz w:val="44"/>
          <w:lang w:val="en-CA"/>
        </w:rPr>
        <mc:AlternateContent>
          <mc:Choice Requires="wpg">
            <w:drawing>
              <wp:anchor behindDoc="0" distT="0" distB="0" distL="114935" distR="114935" simplePos="0" locked="0" layoutInCell="1" allowOverlap="1" relativeHeight="33">
                <wp:simplePos x="0" y="0"/>
                <wp:positionH relativeFrom="column">
                  <wp:posOffset>1920240</wp:posOffset>
                </wp:positionH>
                <wp:positionV relativeFrom="paragraph">
                  <wp:posOffset>300355</wp:posOffset>
                </wp:positionV>
                <wp:extent cx="2384425" cy="2305050"/>
                <wp:effectExtent l="0" t="0" r="0" b="0"/>
                <wp:wrapNone/>
                <wp:docPr id="1" name=""/>
                <a:graphic xmlns:a="http://schemas.openxmlformats.org/drawingml/2006/main">
                  <a:graphicData uri="http://schemas.microsoft.com/office/word/2010/wordprocessingGroup">
                    <wpg:wgp>
                      <wpg:cNvGrpSpPr/>
                      <wpg:grpSpPr>
                        <a:xfrm>
                          <a:off x="0" y="0"/>
                          <a:ext cx="2384280" cy="2305080"/>
                          <a:chOff x="0" y="0"/>
                          <a:chExt cx="2384280" cy="2305080"/>
                        </a:xfrm>
                      </wpg:grpSpPr>
                      <pic:pic xmlns:pic="http://schemas.openxmlformats.org/drawingml/2006/picture">
                        <pic:nvPicPr>
                          <pic:cNvPr id="2" name="ENE_C_WHI" descr=""/>
                          <pic:cNvPicPr/>
                        </pic:nvPicPr>
                        <pic:blipFill>
                          <a:blip r:embed="rId2"/>
                          <a:stretch/>
                        </pic:blipFill>
                        <pic:spPr>
                          <a:xfrm>
                            <a:off x="0" y="0"/>
                            <a:ext cx="2295000" cy="2305080"/>
                          </a:xfrm>
                          <a:prstGeom prst="rect">
                            <a:avLst/>
                          </a:prstGeom>
                          <a:noFill/>
                          <a:ln w="0">
                            <a:noFill/>
                          </a:ln>
                        </pic:spPr>
                      </pic:pic>
                      <wps:wsp>
                        <wps:cNvSpPr txBox="1"/>
                        <wps:spPr>
                          <a:xfrm>
                            <a:off x="2088000" y="1207080"/>
                            <a:ext cx="296640" cy="274320"/>
                          </a:xfrm>
                          <a:prstGeom prst="rect">
                            <a:avLst/>
                          </a:prstGeom>
                          <a:noFill/>
                          <a:ln w="0">
                            <a:noFill/>
                          </a:ln>
                        </wps:spPr>
                        <wps:txbx>
                          <w:txbxContent>
                            <w:p>
                              <w:pPr>
                                <w:overflowPunct w:val="false"/>
                                <w:bidi w:val="0"/>
                                <w:rPr/>
                              </w:pPr>
                              <w:r>
                                <w:rPr>
                                  <w:kern w:val="2"/>
                                  <w:sz w:val="24"/>
                                  <w:b/>
                                  <w:szCs w:val="20"/>
                                  <w:rFonts w:ascii="Arial" w:hAnsi="Arial" w:eastAsia="Times New Roman" w:cs="Arial"/>
                                  <w:color w:val="00FFFF"/>
                                  <w:lang w:val="en-US" w:bidi="ar-SA"/>
                                </w:rPr>
                                <w:t>®</w:t>
                              </w:r>
                            </w:p>
                          </w:txbxContent>
                        </wps:txbx>
                        <wps:bodyPr wrap="square" anchor="ctr">
                          <a:noAutofit/>
                        </wps:bodyPr>
                      </wps:wsp>
                    </wpg:wgp>
                  </a:graphicData>
                </a:graphic>
              </wp:anchor>
            </w:drawing>
          </mc:Choice>
          <mc:Fallback>
            <w:pict>
              <v:group id="shape_0" style="position:absolute;margin-left:151.2pt;margin-top:23.65pt;width:187.75pt;height:181.5pt" coordorigin="3024,473" coordsize="3755,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3024;top:473;width:3613;height:3629;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312;top:2374;width:466;height:431;mso-wrap-style:none;v-text-anchor:middle" type="_x0000_t202">
                  <v:textbox>
                    <w:txbxContent>
                      <w:p>
                        <w:pPr>
                          <w:overflowPunct w:val="false"/>
                          <w:bidi w:val="0"/>
                          <w:rPr/>
                        </w:pPr>
                        <w:r>
                          <w:rPr>
                            <w:kern w:val="2"/>
                            <w:sz w:val="24"/>
                            <w:b/>
                            <w:szCs w:val="20"/>
                            <w:rFonts w:ascii="Arial" w:hAnsi="Arial" w:eastAsia="Times New Roman" w:cs="Arial"/>
                            <w:color w:val="00FFFF"/>
                            <w:lang w:val="en-US" w:bidi="ar-SA"/>
                          </w:rPr>
                          <w:t>®</w:t>
                        </w:r>
                      </w:p>
                    </w:txbxContent>
                  </v:textbox>
                  <v:fill o:detectmouseclick="t" on="false"/>
                  <v:stroke color="#3465a4" joinstyle="round" endcap="flat"/>
                  <w10:wrap type="none"/>
                </v:shape>
              </v:group>
            </w:pict>
          </mc:Fallback>
        </mc:AlternateContent>
      </w:r>
    </w:p>
    <w:p>
      <w:pPr>
        <w:sectPr>
          <w:footerReference w:type="default" r:id="rId6"/>
          <w:type w:val="nextPage"/>
          <w:pgSz w:w="12240" w:h="15840"/>
          <w:pgMar w:left="1440" w:right="1440" w:gutter="0" w:header="0" w:top="810" w:footer="720" w:bottom="907"/>
          <w:pgNumType w:start="1" w:fmt="decimal"/>
          <w:formProt w:val="false"/>
          <w:textDirection w:val="lrTb"/>
          <w:docGrid w:type="default" w:linePitch="360" w:charSpace="0"/>
        </w:sectPr>
        <w:pStyle w:val="ParagraphHeading"/>
        <w:numPr>
          <w:ilvl w:val="0"/>
          <w:numId w:val="0"/>
        </w:numPr>
        <w:rPr>
          <w:sz w:val="28"/>
        </w:rPr>
      </w:pPr>
      <w:r>
        <w:rPr>
          <w:sz w:val="28"/>
        </w:rPr>
        <w:object w:dxaOrig="3167" w:dyaOrig="50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65.95pt;margin-top:374.3pt;width:158.4pt;height:25.4pt;mso-wrap-distance-left:9.05pt;mso-wrap-distance-right:9.05pt;mso-position-horizontal-relative:text;mso-position-vertical-relative:text" filled="f" o:ole="">
            <v:imagedata r:id="rId5" o:title=""/>
          </v:shape>
          <o:OLEObject Type="Embed" ProgID="" ShapeID="ole_rId4" DrawAspect="Content" ObjectID="_1824626876" r:id="rId4"/>
        </w:object>
        <mc:AlternateContent>
          <mc:Choice Requires="wps">
            <w:drawing>
              <wp:anchor behindDoc="0" distT="0" distB="0" distL="114935" distR="114935" simplePos="0" locked="0" layoutInCell="1" allowOverlap="1" relativeHeight="35">
                <wp:simplePos x="0" y="0"/>
                <wp:positionH relativeFrom="column">
                  <wp:posOffset>2926080</wp:posOffset>
                </wp:positionH>
                <wp:positionV relativeFrom="paragraph">
                  <wp:posOffset>5298440</wp:posOffset>
                </wp:positionV>
                <wp:extent cx="182880" cy="182880"/>
                <wp:effectExtent l="0" t="0" r="0" b="0"/>
                <wp:wrapNone/>
                <wp:docPr id="3" name=""/>
                <a:graphic xmlns:a="http://schemas.openxmlformats.org/drawingml/2006/main">
                  <a:graphicData uri="http://schemas.microsoft.com/office/word/2010/wordprocessingShape">
                    <wps:wsp>
                      <wps:cNvSpPr/>
                      <wps:spPr>
                        <a:xfrm>
                          <a:off x="0" y="0"/>
                          <a:ext cx="182880" cy="1828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30.4pt;margin-top:417.2pt;width:14.35pt;height:14.35pt;mso-wrap-style:none;v-text-anchor:middle">
                <v:fill o:detectmouseclick="t" type="solid" color2="black"/>
                <v:stroke color="#3465a4" joinstyle="round" endcap="flat"/>
                <w10:wrap type="none"/>
              </v:rect>
            </w:pict>
          </mc:Fallback>
        </mc:AlternateContent>
      </w:r>
    </w:p>
    <w:p>
      <w:pPr>
        <w:pStyle w:val="ParagraphHeading"/>
        <w:spacing w:before="0" w:after="120"/>
        <w:jc w:val="center"/>
        <w:outlineLvl w:val="0"/>
        <w:rPr>
          <w:sz w:val="28"/>
        </w:rPr>
      </w:pPr>
      <w:r>
        <w:rPr>
          <w:sz w:val="28"/>
        </w:rPr>
        <w:t>Enron Net Works Partners, L.P.</w:t>
      </w:r>
    </w:p>
    <w:p>
      <w:pPr>
        <w:pStyle w:val="Heading1"/>
        <w:spacing w:before="0" w:after="60"/>
        <w:ind w:hanging="0" w:start="0"/>
        <w:rPr>
          <w:highlight w:val="yellow"/>
        </w:rPr>
      </w:pPr>
      <w:r>
        <w:rPr>
          <w:highlight w:val="yellow"/>
        </w:rPr>
        <w:t>[$1,000,000,000]</w:t>
      </w:r>
    </w:p>
    <w:p>
      <w:pPr>
        <w:pStyle w:val="Heading1"/>
        <w:spacing w:before="60" w:after="60"/>
        <w:ind w:hanging="0" w:start="0"/>
        <w:rPr/>
      </w:pPr>
      <w:r>
        <w:rPr/>
        <w:t>Limited Partnership Interests</w:t>
      </w:r>
    </w:p>
    <w:p>
      <w:pPr>
        <w:pStyle w:val="Normal"/>
        <w:spacing w:before="240" w:after="80"/>
        <w:jc w:val="both"/>
        <w:rPr>
          <w:sz w:val="16"/>
        </w:rPr>
      </w:pPr>
      <w:r>
        <w:rPr>
          <w:sz w:val="16"/>
        </w:rPr>
        <w:t xml:space="preserve">This Confidential Private Placement Memorandum (“Memorandum”) is being furnished by Enron Corp. (“Enron”) on a confidential basis to a limited number of sophisticated investors for the purpose of providing certain information about limited partnership interests (the “Interests”) in Enron Net Works Partners, L.P. (“Net Works”).  Each offeree to which this Memorandum has been delivered agrees to treat the information contained herein in a confidential manner.  Such information may not be reproduced or used in whole or in part for any purpose other than consideration of an investment in the Interests, nor may it be disclosed without the prior written consent of Enron to anyone other than representatives of the offeree directly concerned with the decision regarding such investment who have agreed to abide by the foregoing restrictions.  Each investor, by accepting this Memorandum, thereby agrees to return it promptly upon request. </w:t>
      </w:r>
    </w:p>
    <w:p>
      <w:pPr>
        <w:pStyle w:val="BodyText2"/>
        <w:spacing w:before="80" w:after="80"/>
        <w:rPr>
          <w:sz w:val="16"/>
        </w:rPr>
      </w:pPr>
      <w:r>
        <w:rPr>
          <w:sz w:val="16"/>
        </w:rPr>
        <w:t xml:space="preserve">The Interests have not been approved or disapproved by the Securities and Exchange Commission or any federal, state or other securities commission or regulatory authority, nor has any such commission or regulatory authority passed upon the accuracy or adequacy of this Memorandum.  Any representation to the contrary is a criminal offense. </w:t>
      </w:r>
    </w:p>
    <w:p>
      <w:pPr>
        <w:pStyle w:val="BodyText2"/>
        <w:spacing w:before="80" w:after="80"/>
        <w:rPr>
          <w:sz w:val="16"/>
        </w:rPr>
      </w:pPr>
      <w:r>
        <w:rPr>
          <w:sz w:val="16"/>
        </w:rPr>
        <w:t>The Interests have not been registered under the Securities Act of 1933, as amended (the “1933 Act”), the securities laws of any state or the securities laws of any other jurisdiction, nor is such registration contemplated.  The Interests will be offered and sold under the exemption provided by Section 4(2) of the 1933 Act and other exemptions of similar import in the laws of the states and jurisdictions where the offering will be made.  Net Works will not be registered as an investment company under the Investment Company Act of 1940, as amended (the “Investment Company Act”) in reliance upon exemptions from registration available under the Investment Company Act.</w:t>
      </w:r>
    </w:p>
    <w:p>
      <w:pPr>
        <w:pStyle w:val="Normal"/>
        <w:spacing w:before="80" w:after="80"/>
        <w:jc w:val="both"/>
        <w:rPr/>
      </w:pPr>
      <w:r>
        <w:rPr>
          <w:sz w:val="16"/>
        </w:rPr>
        <w:t xml:space="preserve">The distribution of this Memorandum and the offer and sale of the Interests in certain jurisdictions may be restricted by law.  This Memorandum does not constitute an offer to sell or the solicitation of an offer to buy any Interests in any state or other jurisdiction where, or to or from any person to or from whom, such offer or solicitation is unlawful or not authorized. The Interests are being offered to, and Interests may only be transferred to, persons who are “qualified purchasers” as such term is defined in the Investment Company Act and the regulations adopted thereunder. The Interests are offered subject to the right of </w:t>
      </w:r>
      <w:r>
        <w:rPr>
          <w:sz w:val="16"/>
          <w:highlight w:val="yellow"/>
        </w:rPr>
        <w:t>Enron NW Management, LLC</w:t>
      </w:r>
      <w:r>
        <w:rPr>
          <w:sz w:val="16"/>
        </w:rPr>
        <w:t xml:space="preserve">, the general partner of Net Works (the “General Partner”), to reject any subscription in whole or in part. </w:t>
      </w:r>
    </w:p>
    <w:p>
      <w:pPr>
        <w:pStyle w:val="BodyText"/>
        <w:spacing w:lineRule="auto" w:line="240" w:before="80" w:after="80"/>
        <w:rPr>
          <w:sz w:val="16"/>
        </w:rPr>
      </w:pPr>
      <w:r>
        <w:rPr>
          <w:sz w:val="16"/>
        </w:rPr>
        <w:t>There is no public market for the Interests and no such market is expected to develop in the future.  The Interests may not be sold or transferred without the General Partner’s consent (which may be withheld in its sole discretion) and unless they are registered under the 1933 Act or an exemption from registration thereunder and under any other applicable securities law registration requirements is available.</w:t>
      </w:r>
    </w:p>
    <w:p>
      <w:pPr>
        <w:pStyle w:val="BodyText2"/>
        <w:spacing w:before="80" w:after="80"/>
        <w:rPr>
          <w:sz w:val="16"/>
        </w:rPr>
      </w:pPr>
      <w:r>
        <w:rPr>
          <w:sz w:val="16"/>
        </w:rPr>
        <w:t xml:space="preserve">In making an investment decision, prospective investors must rely on their own examination of Net Works and the terms of this offering including the merits and risks involved.  Prospective investors should not construe the contents of this Memorandum as legal, tax, investment or accounting advice, and each prospective investor is urged to consult with its own advisors with respect to legal, tax, regulatory, financial and accounting consequences of its investment in the Interests. </w:t>
      </w:r>
    </w:p>
    <w:p>
      <w:pPr>
        <w:pStyle w:val="Normal"/>
        <w:spacing w:before="80" w:after="80"/>
        <w:jc w:val="both"/>
        <w:rPr>
          <w:sz w:val="16"/>
        </w:rPr>
      </w:pPr>
      <w:r>
        <w:rPr>
          <w:sz w:val="16"/>
        </w:rPr>
        <w:t xml:space="preserve">Investment in the Interests will involve a high degree of risk due, among other things, to the nature of Net Works investments.  Prospective investors should pay particular attention to the information in Appendix C, “Risk Factors and Considerations”, of this Memorandum.  Investment in Net Works is suitable only for sophisticated investors and requires the financial ability and willingness to accept the high risks and lack of liquidity inherent in an investment in Net Works.  Investors in Net Works must be prepared to bear such risks for an extended period of time.  No assurance can be given that Net Works’ investment objective will be achieved or that investors will receive a return of their capital. </w:t>
      </w:r>
    </w:p>
    <w:p>
      <w:pPr>
        <w:pStyle w:val="BodyTextIndent"/>
        <w:spacing w:before="80" w:after="80"/>
        <w:ind w:hanging="0" w:end="0"/>
        <w:rPr>
          <w:sz w:val="16"/>
        </w:rPr>
      </w:pPr>
      <w:r>
        <w:rPr>
          <w:sz w:val="16"/>
        </w:rPr>
        <w:t>The description of the limited partnership agreement of Net Works set forth herein does not purport to be a complete statement thereof, and it is qualified by and subject to the provisions of such partnership agreement.  If the description or terms in this Memorandum are inconsistent with or contrary to the partnership agreement (a copy of which will be furnished to prospective investors), the partnership agreement will control. Enron reserves the right to modify any of the terms of the offering and the Interests described herein prior to the initial closing of Net Works.</w:t>
      </w:r>
    </w:p>
    <w:p>
      <w:pPr>
        <w:pStyle w:val="BodyTextIndent"/>
        <w:spacing w:before="80" w:after="80"/>
        <w:ind w:hanging="0" w:end="0"/>
        <w:rPr>
          <w:sz w:val="16"/>
        </w:rPr>
      </w:pPr>
      <w:r>
        <w:rPr>
          <w:sz w:val="16"/>
        </w:rPr>
        <w:t xml:space="preserve">No person has been authorized in connection with this offering to give any information or make any representations other than as contained in this Memorandum, and any representation or information not contained herein must not be relied upon as having been authorized by Enron, the General Partner, Net Works or Chase Securities Inc. Statements in this Memorandum are made as of July 26, 2000, unless stated otherwise, and neither the delivery of this Memorandum at any time, nor any sale hereunder, shall under any circumstances create an implication that the information contained herein is correct as of any time subsequent to such date(s). </w:t>
      </w:r>
    </w:p>
    <w:p>
      <w:pPr>
        <w:pStyle w:val="BodyTextIndent"/>
        <w:spacing w:before="80" w:after="80"/>
        <w:ind w:hanging="0" w:end="0"/>
        <w:rPr>
          <w:sz w:val="16"/>
        </w:rPr>
      </w:pPr>
      <w:r>
        <w:rPr>
          <w:sz w:val="16"/>
        </w:rPr>
        <w:t xml:space="preserve">Certain economic and market information contained herein has been obtained from published sources prepared by other parties. While such sources are believed to be reliable, none of Net Works, the General Partner, Enron or any of their respective officers, directors, or affiliates assumes any responsibility for the accuracy or completeness of such information. </w:t>
      </w:r>
    </w:p>
    <w:p>
      <w:pPr>
        <w:pStyle w:val="BodyTextIndent"/>
        <w:spacing w:before="80" w:after="80"/>
        <w:ind w:hanging="0" w:end="0"/>
        <w:rPr>
          <w:sz w:val="16"/>
        </w:rPr>
      </w:pPr>
      <w:r>
        <w:rPr>
          <w:sz w:val="16"/>
        </w:rPr>
        <w:t>Certain information contained in this Memorandum constitutes “forward-looking statements,” which can be identified by the use of forward-looking terminology such as “may,” “will,” “should,” “expect,” “anticipate,” “project,” “intend,” “continue,” or “believe” or the negatives thereof or other variations thereon or by the use of comparable terminology. Due to various risks and uncertainties, including those set forth under Appendix C “Risk Factors and Considerations,” actual events or results or the actual performance of Net Works may differ materially from those reflected or contemplated in such forward-looking statements.</w:t>
      </w:r>
    </w:p>
    <w:p>
      <w:pPr>
        <w:pStyle w:val="BodyTextIndent"/>
        <w:spacing w:before="80" w:after="80"/>
        <w:ind w:hanging="0" w:end="0"/>
        <w:rPr>
          <w:sz w:val="16"/>
        </w:rPr>
      </w:pPr>
      <w:r>
        <w:rPr>
          <w:sz w:val="16"/>
        </w:rPr>
        <w:t xml:space="preserve">Net Works will make available to each investor the opportunity to discuss with, ask questions of and receive answers from representatives of Enron and Net Works concerning the terms and conditions of this offering, and to obtain any additional information to the extent Net Works possesses such information or can acquire it without unreasonable effort or expense. </w:t>
      </w:r>
    </w:p>
    <w:p>
      <w:pPr>
        <w:pStyle w:val="Normal"/>
        <w:spacing w:before="240" w:after="0"/>
        <w:jc w:val="center"/>
        <w:rPr>
          <w:b/>
          <w:sz w:val="32"/>
        </w:rPr>
      </w:pPr>
      <w:r>
        <w:rPr>
          <w:b/>
          <w:sz w:val="32"/>
        </w:rPr>
        <w:t>CHASE H&amp;Q</w:t>
      </w:r>
    </w:p>
    <w:p>
      <w:pPr>
        <w:sectPr>
          <w:headerReference w:type="default" r:id="rId7"/>
          <w:footerReference w:type="default" r:id="rId8"/>
          <w:footerReference w:type="first" r:id="rId9"/>
          <w:type w:val="nextPage"/>
          <w:pgSz w:w="12240" w:h="15840"/>
          <w:pgMar w:left="1440" w:right="1440" w:gutter="0" w:header="432" w:top="810" w:footer="720" w:bottom="907"/>
          <w:pgNumType w:start="1" w:fmt="decimal"/>
          <w:formProt w:val="false"/>
          <w:textDirection w:val="lrTb"/>
          <w:docGrid w:type="default" w:linePitch="360" w:charSpace="0"/>
        </w:sectPr>
        <w:pStyle w:val="Heading8"/>
        <w:ind w:hanging="0" w:start="0"/>
        <w:rPr/>
      </w:pPr>
      <w:r>
        <w:rPr/>
        <w:t>A Division of Chase Securities Inc.</w:t>
      </w:r>
      <w:r>
        <mc:AlternateContent>
          <mc:Choice Requires="wps">
            <w:drawing>
              <wp:anchor behindDoc="0" distT="0" distB="0" distL="114935" distR="114935" simplePos="0" locked="0" layoutInCell="1" allowOverlap="1" relativeHeight="36">
                <wp:simplePos x="0" y="0"/>
                <wp:positionH relativeFrom="column">
                  <wp:posOffset>2743200</wp:posOffset>
                </wp:positionH>
                <wp:positionV relativeFrom="paragraph">
                  <wp:posOffset>142875</wp:posOffset>
                </wp:positionV>
                <wp:extent cx="350520" cy="274320"/>
                <wp:effectExtent l="0" t="0" r="0" b="0"/>
                <wp:wrapNone/>
                <wp:docPr id="6" name="Frame1"/>
                <a:graphic xmlns:a="http://schemas.openxmlformats.org/drawingml/2006/main">
                  <a:graphicData uri="http://schemas.microsoft.com/office/word/2010/wordprocessingShape">
                    <wps:wsp>
                      <wps:cNvSpPr txBox="1"/>
                      <wps:spPr>
                        <a:xfrm>
                          <a:off x="0" y="0"/>
                          <a:ext cx="35052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7.6pt;height:21.6pt;mso-wrap-distance-left:9.05pt;mso-wrap-distance-right:9.05pt;mso-wrap-distance-top:0pt;mso-wrap-distance-bottom:0pt;margin-top:11.25pt;mso-position-vertical-relative:text;margin-left:21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JustifiedBody"/>
        <w:spacing w:before="60" w:after="120"/>
        <w:rPr>
          <w:b/>
          <w:sz w:val="28"/>
          <w:lang w:val="en-CA"/>
        </w:rPr>
      </w:pPr>
      <w:r>
        <w:rPr>
          <w:b/>
          <w:sz w:val="28"/>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numPr>
          <w:ilvl w:val="0"/>
          <w:numId w:val="0"/>
        </w:numPr>
        <w:spacing w:before="60" w:after="120"/>
        <w:outlineLvl w:val="0"/>
        <w:rPr>
          <w:b/>
          <w:smallCaps/>
          <w:lang w:val="en-CA"/>
        </w:rPr>
      </w:pPr>
      <w:r>
        <w:rPr>
          <w:b/>
          <w:smallCaps/>
          <w:lang w:val="en-CA"/>
        </w:rPr>
        <w:t>For additional information, please contact either Chase Securities Inc. or Enron Net Works at:</w:t>
      </w:r>
    </w:p>
    <w:tbl>
      <w:tblPr>
        <w:tblW w:w="9558" w:type="dxa"/>
        <w:jc w:val="start"/>
        <w:tblInd w:w="0" w:type="dxa"/>
        <w:tblLayout w:type="fixed"/>
        <w:tblCellMar>
          <w:top w:w="0" w:type="dxa"/>
          <w:start w:w="108" w:type="dxa"/>
          <w:bottom w:w="0" w:type="dxa"/>
          <w:end w:w="108" w:type="dxa"/>
        </w:tblCellMar>
      </w:tblPr>
      <w:tblGrid>
        <w:gridCol w:w="3168"/>
        <w:gridCol w:w="3060"/>
        <w:gridCol w:w="3330"/>
      </w:tblGrid>
      <w:tr>
        <w:trPr/>
        <w:tc>
          <w:tcPr>
            <w:tcW w:w="3168" w:type="dxa"/>
            <w:tcBorders/>
          </w:tcPr>
          <w:p>
            <w:pPr>
              <w:pStyle w:val="Normal"/>
              <w:rPr>
                <w:sz w:val="22"/>
              </w:rPr>
            </w:pPr>
            <w:r>
              <w:rPr>
                <w:sz w:val="22"/>
              </w:rPr>
              <w:t>Bill Sperry</w:t>
            </w:r>
          </w:p>
          <w:p>
            <w:pPr>
              <w:pStyle w:val="Normal"/>
              <w:rPr>
                <w:sz w:val="22"/>
              </w:rPr>
            </w:pPr>
            <w:r>
              <w:rPr>
                <w:sz w:val="22"/>
              </w:rPr>
              <w:t>Managing Director</w:t>
            </w:r>
          </w:p>
          <w:p>
            <w:pPr>
              <w:pStyle w:val="Normal"/>
              <w:rPr>
                <w:sz w:val="22"/>
              </w:rPr>
            </w:pPr>
            <w:r>
              <w:rPr>
                <w:sz w:val="22"/>
              </w:rPr>
              <w:t>Chase Securities Inc.</w:t>
            </w:r>
          </w:p>
          <w:p>
            <w:pPr>
              <w:pStyle w:val="Normal"/>
              <w:rPr>
                <w:sz w:val="22"/>
              </w:rPr>
            </w:pPr>
            <w:r>
              <w:rPr>
                <w:sz w:val="22"/>
              </w:rPr>
              <w:t>270 Park Avenue, 10th Floor</w:t>
            </w:r>
          </w:p>
          <w:p>
            <w:pPr>
              <w:pStyle w:val="Normal"/>
              <w:rPr>
                <w:sz w:val="22"/>
              </w:rPr>
            </w:pPr>
            <w:r>
              <w:rPr>
                <w:sz w:val="22"/>
              </w:rPr>
              <w:t>New York, New York 10017</w:t>
            </w:r>
          </w:p>
          <w:p>
            <w:pPr>
              <w:pStyle w:val="Normal"/>
              <w:rPr>
                <w:sz w:val="22"/>
              </w:rPr>
            </w:pPr>
            <w:r>
              <w:rPr>
                <w:sz w:val="22"/>
              </w:rPr>
              <w:t>(212) 270-7401</w:t>
            </w:r>
          </w:p>
          <w:p>
            <w:pPr>
              <w:pStyle w:val="Normal"/>
              <w:rPr>
                <w:color w:val="000000"/>
                <w:sz w:val="22"/>
              </w:rPr>
            </w:pPr>
            <w:hyperlink r:id="rId10">
              <w:r>
                <w:rPr>
                  <w:rStyle w:val="Hyperlink"/>
                </w:rPr>
                <w:t>bill.sperry@chase.com</w:t>
              </w:r>
            </w:hyperlink>
          </w:p>
        </w:tc>
        <w:tc>
          <w:tcPr>
            <w:tcW w:w="3060" w:type="dxa"/>
            <w:tcBorders/>
          </w:tcPr>
          <w:p>
            <w:pPr>
              <w:pStyle w:val="Normal"/>
              <w:snapToGrid w:val="false"/>
              <w:ind w:start="162" w:end="0"/>
              <w:jc w:val="center"/>
              <w:rPr>
                <w:color w:val="000000"/>
                <w:sz w:val="22"/>
              </w:rPr>
            </w:pPr>
            <w:r>
              <w:rPr>
                <w:color w:val="000000"/>
                <w:sz w:val="22"/>
              </w:rPr>
            </w:r>
          </w:p>
        </w:tc>
        <w:tc>
          <w:tcPr>
            <w:tcW w:w="3330" w:type="dxa"/>
            <w:tcBorders/>
          </w:tcPr>
          <w:p>
            <w:pPr>
              <w:pStyle w:val="Normal"/>
              <w:jc w:val="end"/>
              <w:rPr>
                <w:color w:val="000000"/>
                <w:sz w:val="22"/>
              </w:rPr>
            </w:pPr>
            <w:r>
              <w:rPr>
                <w:color w:val="000000"/>
                <w:sz w:val="22"/>
              </w:rPr>
              <w:t>Bill W. Brown</w:t>
            </w:r>
          </w:p>
          <w:p>
            <w:pPr>
              <w:pStyle w:val="Normal"/>
              <w:jc w:val="end"/>
              <w:rPr>
                <w:color w:val="000000"/>
                <w:sz w:val="22"/>
              </w:rPr>
            </w:pPr>
            <w:r>
              <w:rPr>
                <w:color w:val="000000"/>
                <w:sz w:val="22"/>
              </w:rPr>
              <w:t>Vice President &amp; Regional CFO</w:t>
            </w:r>
          </w:p>
          <w:p>
            <w:pPr>
              <w:pStyle w:val="Normal"/>
              <w:jc w:val="end"/>
              <w:rPr>
                <w:color w:val="000000"/>
                <w:sz w:val="22"/>
              </w:rPr>
            </w:pPr>
            <w:r>
              <w:rPr>
                <w:color w:val="000000"/>
                <w:sz w:val="22"/>
              </w:rPr>
              <w:t>Enron Net Works</w:t>
            </w:r>
          </w:p>
          <w:p>
            <w:pPr>
              <w:pStyle w:val="Normal"/>
              <w:jc w:val="end"/>
              <w:rPr>
                <w:color w:val="000000"/>
                <w:sz w:val="22"/>
              </w:rPr>
            </w:pPr>
            <w:r>
              <w:rPr>
                <w:color w:val="000000"/>
                <w:sz w:val="22"/>
              </w:rPr>
              <w:t>1400 Smith Street, Suite 2700</w:t>
            </w:r>
          </w:p>
          <w:p>
            <w:pPr>
              <w:pStyle w:val="Normal"/>
              <w:jc w:val="end"/>
              <w:rPr>
                <w:color w:val="000000"/>
                <w:sz w:val="22"/>
              </w:rPr>
            </w:pPr>
            <w:r>
              <w:rPr>
                <w:color w:val="000000"/>
                <w:sz w:val="22"/>
              </w:rPr>
              <w:t>Houston, Texas 77002</w:t>
            </w:r>
          </w:p>
          <w:p>
            <w:pPr>
              <w:pStyle w:val="Normal"/>
              <w:jc w:val="end"/>
              <w:rPr>
                <w:color w:val="000000"/>
                <w:sz w:val="22"/>
              </w:rPr>
            </w:pPr>
            <w:hyperlink r:id="rId11">
              <w:r>
                <w:rPr>
                  <w:rStyle w:val="Hyperlink"/>
                  <w:color w:val="000000"/>
                  <w:sz w:val="22"/>
                </w:rPr>
                <w:t>(713) 853-6398</w:t>
              </w:r>
            </w:hyperlink>
          </w:p>
          <w:p>
            <w:pPr>
              <w:pStyle w:val="Normal"/>
              <w:jc w:val="end"/>
              <w:rPr>
                <w:color w:val="000000"/>
                <w:sz w:val="22"/>
              </w:rPr>
            </w:pPr>
            <w:hyperlink r:id="rId12">
              <w:r>
                <w:rPr>
                  <w:rStyle w:val="Hyperlink"/>
                </w:rPr>
                <w:t>bill.w.brown@enron.com</w:t>
              </w:r>
            </w:hyperlink>
          </w:p>
        </w:tc>
      </w:tr>
    </w:tbl>
    <w:p>
      <w:pPr>
        <w:pStyle w:val="Normal"/>
        <w:numPr>
          <w:ilvl w:val="0"/>
          <w:numId w:val="0"/>
        </w:numPr>
        <w:jc w:val="both"/>
        <w:outlineLvl w:val="0"/>
        <w:rPr/>
      </w:pPr>
      <w:r>
        <w:rPr/>
      </w:r>
    </w:p>
    <w:p>
      <w:pPr>
        <w:pStyle w:val="ParagraphHeading"/>
        <w:spacing w:before="60" w:after="0"/>
        <w:jc w:val="center"/>
        <w:outlineLvl w:val="0"/>
        <w:rPr>
          <w:b w:val="false"/>
          <w:sz w:val="28"/>
        </w:rPr>
      </w:pPr>
      <w:r>
        <w:rPr>
          <w:sz w:val="28"/>
        </w:rPr>
        <w:t>Enron Net Works Partners, L.P.</w:t>
      </w:r>
    </w:p>
    <w:p>
      <w:pPr>
        <w:pStyle w:val="Heading9"/>
        <w:ind w:hanging="0" w:start="0"/>
        <w:rPr>
          <w:b/>
          <w:smallCaps/>
          <w:sz w:val="28"/>
        </w:rPr>
      </w:pPr>
      <w:r>
        <w:rPr>
          <w:b/>
          <w:smallCaps/>
          <w:sz w:val="28"/>
        </w:rPr>
        <w:t>Table of Contents</w:t>
      </w:r>
    </w:p>
    <w:tbl>
      <w:tblPr>
        <w:tblW w:w="9090" w:type="dxa"/>
        <w:jc w:val="center"/>
        <w:tblInd w:w="0" w:type="dxa"/>
        <w:tblLayout w:type="fixed"/>
        <w:tblCellMar>
          <w:top w:w="0" w:type="dxa"/>
          <w:start w:w="108" w:type="dxa"/>
          <w:bottom w:w="0" w:type="dxa"/>
          <w:end w:w="108" w:type="dxa"/>
        </w:tblCellMar>
      </w:tblPr>
      <w:tblGrid>
        <w:gridCol w:w="698"/>
        <w:gridCol w:w="22"/>
        <w:gridCol w:w="7605"/>
        <w:gridCol w:w="630"/>
        <w:gridCol w:w="135"/>
      </w:tblGrid>
      <w:tr>
        <w:trPr>
          <w:trHeight w:val="531" w:hRule="atLeast"/>
        </w:trPr>
        <w:tc>
          <w:tcPr>
            <w:tcW w:w="720" w:type="dxa"/>
            <w:gridSpan w:val="2"/>
            <w:tcBorders/>
          </w:tcPr>
          <w:p>
            <w:pPr>
              <w:pStyle w:val="TOC1"/>
              <w:snapToGrid w:val="false"/>
              <w:spacing w:before="120" w:after="120"/>
              <w:rPr/>
            </w:pPr>
            <w:r>
              <w:rPr/>
              <mc:AlternateContent>
                <mc:Choice Requires="wps">
                  <w:drawing>
                    <wp:anchor behindDoc="0" distT="0" distB="0" distL="114935" distR="114935" simplePos="0" locked="0" layoutInCell="0" allowOverlap="1" relativeHeight="31">
                      <wp:simplePos x="0" y="0"/>
                      <wp:positionH relativeFrom="margin">
                        <wp:posOffset>-45720</wp:posOffset>
                      </wp:positionH>
                      <wp:positionV relativeFrom="paragraph">
                        <wp:posOffset>-502920</wp:posOffset>
                      </wp:positionV>
                      <wp:extent cx="457200" cy="365760"/>
                      <wp:effectExtent l="0" t="0" r="0" b="0"/>
                      <wp:wrapNone/>
                      <wp:docPr id="7" name=""/>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6pt;margin-top:-39.6pt;width:35.95pt;height:28.75pt;mso-wrap-style:none;v-text-anchor:middle;mso-position-horizontal-relative:margin">
                      <v:fill o:detectmouseclick="t" type="solid" color2="black"/>
                      <v:stroke color="#3465a4" joinstyle="round" endcap="flat"/>
                      <w10:wrap type="none"/>
                    </v:rect>
                  </w:pict>
                </mc:Fallback>
              </mc:AlternateContent>
            </w:r>
          </w:p>
        </w:tc>
        <w:tc>
          <w:tcPr>
            <w:tcW w:w="7605" w:type="dxa"/>
            <w:tcBorders/>
          </w:tcPr>
          <w:p>
            <w:pPr>
              <w:pStyle w:val="TOC1"/>
              <w:snapToGrid w:val="false"/>
              <w:spacing w:before="120" w:after="120"/>
              <w:rPr/>
            </w:pPr>
            <w:r>
              <w:rPr/>
            </w:r>
          </w:p>
        </w:tc>
        <w:tc>
          <w:tcPr>
            <w:tcW w:w="765" w:type="dxa"/>
            <w:gridSpan w:val="2"/>
            <w:tcBorders/>
          </w:tcPr>
          <w:p>
            <w:pPr>
              <w:pStyle w:val="Normal"/>
              <w:keepNext w:val="true"/>
              <w:spacing w:before="720" w:after="120"/>
              <w:ind w:start="-108" w:end="0"/>
              <w:rPr>
                <w:b/>
                <w:sz w:val="24"/>
                <w:u w:val="single"/>
              </w:rPr>
            </w:pPr>
            <w:r>
              <w:rPr>
                <w:b/>
                <w:sz w:val="24"/>
                <w:u w:val="single"/>
              </w:rPr>
              <w:t>Page</w:t>
            </w:r>
          </w:p>
        </w:tc>
      </w:tr>
      <w:tr>
        <w:trPr>
          <w:trHeight w:val="607" w:hRule="atLeast"/>
        </w:trPr>
        <w:tc>
          <w:tcPr>
            <w:tcW w:w="698" w:type="dxa"/>
            <w:tcBorders/>
            <w:vAlign w:val="center"/>
          </w:tcPr>
          <w:p>
            <w:pPr>
              <w:pStyle w:val="TOC1"/>
              <w:spacing w:before="120" w:after="120"/>
              <w:rPr/>
            </w:pPr>
            <w:r>
              <w:rPr/>
              <w:t>I.</w:t>
            </w:r>
          </w:p>
        </w:tc>
        <w:tc>
          <w:tcPr>
            <w:tcW w:w="7627" w:type="dxa"/>
            <w:gridSpan w:val="2"/>
            <w:tcBorders/>
            <w:vAlign w:val="center"/>
          </w:tcPr>
          <w:p>
            <w:pPr>
              <w:pStyle w:val="TOC1"/>
              <w:spacing w:before="120" w:after="120"/>
              <w:rPr/>
            </w:pPr>
            <w:r>
              <w:rPr/>
              <w:t>Executive Summary</w:t>
              <w:tab/>
            </w:r>
          </w:p>
        </w:tc>
        <w:tc>
          <w:tcPr>
            <w:tcW w:w="630" w:type="dxa"/>
            <w:tcBorders/>
          </w:tcPr>
          <w:p>
            <w:pPr>
              <w:pStyle w:val="TOC1"/>
              <w:spacing w:before="120" w:after="120"/>
              <w:rPr/>
            </w:pPr>
            <w:r>
              <w:rPr/>
              <w:fldChar w:fldCharType="begin"/>
            </w:r>
            <w:r>
              <w:rPr/>
              <w:instrText xml:space="preserve"> PAGEREF _Ref489097345 \h </w:instrText>
            </w:r>
            <w:r>
              <w:rPr/>
              <w:fldChar w:fldCharType="separate"/>
            </w:r>
            <w:r>
              <w:rPr/>
              <w:t>1</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II.</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Investment Highlights</w:t>
                  <w:tab/>
                </w:r>
                <w:r>
                  <w:rPr/>
                  <w:fldChar w:fldCharType="end"/>
                </w:r>
              </w:p>
            </w:sdtContent>
          </w:sdt>
          <w:p>
            <w:pPr>
              <w:pStyle w:val="TOC1"/>
              <w:spacing w:before="120" w:after="120"/>
              <w:rPr>
                <w:sz w:val="24"/>
                <w:lang w:val="en-CA" w:eastAsia="en-CA"/>
              </w:rPr>
            </w:pPr>
            <w:r>
              <w:rPr>
                <w:sz w:val="24"/>
                <w:lang w:val="en-CA" w:eastAsia="en-CA"/>
              </w:rPr>
            </w:r>
          </w:p>
        </w:tc>
        <w:tc>
          <w:tcPr>
            <w:tcW w:w="630" w:type="dxa"/>
            <w:tcBorders/>
          </w:tcPr>
          <w:p>
            <w:pPr>
              <w:pStyle w:val="TOC1"/>
              <w:spacing w:before="120" w:after="120"/>
              <w:rPr/>
            </w:pPr>
            <w:r>
              <w:rPr/>
              <w:fldChar w:fldCharType="begin"/>
            </w:r>
            <w:r>
              <w:rPr/>
              <w:instrText xml:space="preserve"> PAGEREF _Ref489097464 \h </w:instrText>
            </w:r>
            <w:r>
              <w:rPr/>
              <w:fldChar w:fldCharType="separate"/>
            </w:r>
            <w:r>
              <w:rPr/>
              <w:t>7</w:t>
            </w:r>
            <w:r>
              <w:rPr/>
              <w:fldChar w:fldCharType="end"/>
            </w:r>
          </w:p>
        </w:tc>
        <w:tc>
          <w:tcPr>
            <w:tcW w:w="135" w:type="dxa"/>
            <w:tcBorders/>
            <w:tcMar>
              <w:start w:w="0" w:type="dxa"/>
              <w:end w:w="0" w:type="dxa"/>
            </w:tcMar>
          </w:tcPr>
          <w:p>
            <w:pPr>
              <w:pStyle w:val="Normal"/>
              <w:snapToGrid w:val="false"/>
              <w:rPr>
                <w:sz w:val="24"/>
              </w:rPr>
            </w:pPr>
            <w:r>
              <w:rPr>
                <w:sz w:val="24"/>
              </w:rPr>
            </w:r>
          </w:p>
        </w:tc>
      </w:tr>
      <w:tr>
        <w:trPr>
          <w:trHeight w:val="607" w:hRule="atLeast"/>
        </w:trPr>
        <w:tc>
          <w:tcPr>
            <w:tcW w:w="698" w:type="dxa"/>
            <w:tcBorders/>
            <w:vAlign w:val="center"/>
          </w:tcPr>
          <w:p>
            <w:pPr>
              <w:pStyle w:val="TOC1"/>
              <w:spacing w:before="120" w:after="120"/>
              <w:rPr/>
            </w:pPr>
            <w:r>
              <w:rPr/>
              <w:t>III.</w:t>
            </w:r>
          </w:p>
        </w:tc>
        <w:tc>
          <w:tcPr>
            <w:tcW w:w="7627" w:type="dxa"/>
            <w:gridSpan w:val="2"/>
            <w:tcBorders/>
            <w:vAlign w:val="center"/>
          </w:tcPr>
          <w:p>
            <w:pPr>
              <w:pStyle w:val="TOC1"/>
              <w:spacing w:before="120" w:after="120"/>
              <w:rPr/>
            </w:pPr>
            <w:r>
              <w:rPr/>
              <w:t>Enron Corp.’s Track Record</w:t>
              <w:tab/>
            </w:r>
          </w:p>
        </w:tc>
        <w:tc>
          <w:tcPr>
            <w:tcW w:w="630" w:type="dxa"/>
            <w:tcBorders/>
          </w:tcPr>
          <w:p>
            <w:pPr>
              <w:pStyle w:val="TOC1"/>
              <w:spacing w:before="120" w:after="120"/>
              <w:rPr/>
            </w:pPr>
            <w:r>
              <w:rPr/>
              <w:fldChar w:fldCharType="begin"/>
            </w:r>
            <w:r>
              <w:rPr/>
              <w:instrText xml:space="preserve"> PAGEREF _Ref489097474 \h </w:instrText>
            </w:r>
            <w:r>
              <w:rPr/>
              <w:fldChar w:fldCharType="separate"/>
            </w:r>
            <w:r>
              <w:rPr/>
              <w:t>9</w:t>
            </w:r>
            <w:r>
              <w:rPr/>
              <w:fldChar w:fldCharType="end"/>
            </w:r>
          </w:p>
        </w:tc>
        <w:tc>
          <w:tcPr>
            <w:tcW w:w="135" w:type="dxa"/>
            <w:tcBorders/>
            <w:tcMar>
              <w:start w:w="0" w:type="dxa"/>
              <w:end w:w="0" w:type="dxa"/>
            </w:tcMar>
          </w:tcPr>
          <w:p>
            <w:pPr>
              <w:pStyle w:val="Normal"/>
              <w:snapToGrid w:val="false"/>
              <w:rPr/>
            </w:pPr>
            <w:r>
              <w:rPr/>
            </w:r>
          </w:p>
        </w:tc>
      </w:tr>
      <w:tr>
        <w:trPr>
          <w:trHeight w:val="607" w:hRule="atLeast"/>
        </w:trPr>
        <w:tc>
          <w:tcPr>
            <w:tcW w:w="698" w:type="dxa"/>
            <w:tcBorders/>
            <w:vAlign w:val="center"/>
          </w:tcPr>
          <w:p>
            <w:pPr>
              <w:pStyle w:val="TOC1"/>
              <w:spacing w:before="120" w:after="120"/>
              <w:rPr/>
            </w:pPr>
            <w:r>
              <w:rPr/>
              <w:t>IV.</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Net Works Business Plan</w:t>
                  <w:tab/>
                </w:r>
                <w:r>
                  <w:rPr/>
                  <w:fldChar w:fldCharType="end"/>
                </w:r>
              </w:p>
            </w:sdtContent>
          </w:sdt>
          <w:p>
            <w:pPr>
              <w:pStyle w:val="TOC1"/>
              <w:spacing w:before="120" w:after="120"/>
              <w:rPr>
                <w:sz w:val="24"/>
                <w:lang w:val="en-CA" w:eastAsia="en-CA"/>
              </w:rPr>
            </w:pPr>
            <w:r>
              <w:rPr>
                <w:sz w:val="24"/>
                <w:lang w:val="en-CA" w:eastAsia="en-CA"/>
              </w:rPr>
            </w:r>
          </w:p>
        </w:tc>
        <w:tc>
          <w:tcPr>
            <w:tcW w:w="630" w:type="dxa"/>
            <w:tcBorders/>
          </w:tcPr>
          <w:p>
            <w:pPr>
              <w:pStyle w:val="TOC1"/>
              <w:spacing w:before="120" w:after="120"/>
              <w:rPr/>
            </w:pPr>
            <w:r>
              <w:rPr/>
              <w:fldChar w:fldCharType="begin"/>
            </w:r>
            <w:r>
              <w:rPr/>
              <w:instrText xml:space="preserve"> PAGEREF _Ref489097618 \h </w:instrText>
            </w:r>
            <w:r>
              <w:rPr/>
              <w:fldChar w:fldCharType="separate"/>
            </w:r>
            <w:r>
              <w:rPr/>
              <w:t>16</w:t>
            </w:r>
            <w:r>
              <w:rPr/>
              <w:fldChar w:fldCharType="end"/>
            </w:r>
          </w:p>
        </w:tc>
        <w:tc>
          <w:tcPr>
            <w:tcW w:w="135" w:type="dxa"/>
            <w:tcBorders/>
            <w:tcMar>
              <w:start w:w="0" w:type="dxa"/>
              <w:end w:w="0" w:type="dxa"/>
            </w:tcMar>
          </w:tcPr>
          <w:p>
            <w:pPr>
              <w:pStyle w:val="Normal"/>
              <w:snapToGrid w:val="false"/>
              <w:rPr>
                <w:sz w:val="24"/>
              </w:rPr>
            </w:pPr>
            <w:r>
              <w:rPr>
                <w:sz w:val="24"/>
              </w:rPr>
            </w:r>
          </w:p>
        </w:tc>
      </w:tr>
      <w:tr>
        <w:trPr>
          <w:trHeight w:val="400" w:hRule="exact"/>
        </w:trPr>
        <w:tc>
          <w:tcPr>
            <w:tcW w:w="698" w:type="dxa"/>
            <w:tcBorders/>
          </w:tcPr>
          <w:p>
            <w:pPr>
              <w:pStyle w:val="TOC1"/>
              <w:snapToGrid w:val="false"/>
              <w:spacing w:before="120" w:after="120"/>
              <w:rPr>
                <w:sz w:val="24"/>
              </w:rPr>
            </w:pPr>
            <w:r>
              <w:rPr>
                <w:sz w:val="24"/>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Inefficiency of Markets for Commodity-Like Products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Explosive Growth Projected in U.S. Online B2B Commerce</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 xml:space="preserve">The Net Works Strategy </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Characteristics of Attractive Industries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Overview of Targeted Industries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tabs>
                <w:tab w:val="clear" w:pos="720"/>
                <w:tab w:val="left" w:pos="320" w:leader="none"/>
              </w:tabs>
              <w:ind w:hanging="720" w:start="720" w:end="0"/>
              <w:rPr>
                <w:sz w:val="24"/>
              </w:rPr>
            </w:pPr>
            <w:r>
              <w:rPr>
                <w:sz w:val="24"/>
              </w:rPr>
              <w:t>Acquisition of MG plc</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w:t>
            </w:r>
          </w:p>
        </w:tc>
        <w:tc>
          <w:tcPr>
            <w:tcW w:w="7627" w:type="dxa"/>
            <w:gridSpan w:val="2"/>
            <w:tcBorders/>
            <w:vAlign w:val="center"/>
          </w:tcPr>
          <w:p>
            <w:pPr>
              <w:pStyle w:val="TOC1"/>
              <w:spacing w:before="120" w:after="120"/>
              <w:rPr/>
            </w:pPr>
            <w:r>
              <w:rPr/>
              <w:t>Organization, Management and Employees</w:t>
              <w:tab/>
            </w:r>
          </w:p>
        </w:tc>
        <w:tc>
          <w:tcPr>
            <w:tcW w:w="630" w:type="dxa"/>
            <w:tcBorders/>
          </w:tcPr>
          <w:p>
            <w:pPr>
              <w:pStyle w:val="TOC1"/>
              <w:spacing w:before="120" w:after="120"/>
              <w:rPr/>
            </w:pPr>
            <w:r>
              <w:rPr/>
              <w:fldChar w:fldCharType="begin"/>
            </w:r>
            <w:r>
              <w:rPr/>
              <w:instrText xml:space="preserve"> PAGEREF _Ref489097626 \h </w:instrText>
            </w:r>
            <w:r>
              <w:rPr/>
              <w:fldChar w:fldCharType="separate"/>
            </w:r>
            <w:r>
              <w:rPr/>
              <w:t>24</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w:t>
            </w:r>
          </w:p>
        </w:tc>
        <w:tc>
          <w:tcPr>
            <w:tcW w:w="7627" w:type="dxa"/>
            <w:gridSpan w:val="2"/>
            <w:tcBorders/>
            <w:vAlign w:val="center"/>
          </w:tcPr>
          <w:p>
            <w:pPr>
              <w:pStyle w:val="TOC1"/>
              <w:spacing w:before="120" w:after="120"/>
              <w:rPr/>
            </w:pPr>
            <w:r>
              <w:rPr/>
              <w:t>Enron Contributed Assets</w:t>
              <w:tab/>
            </w:r>
          </w:p>
        </w:tc>
        <w:tc>
          <w:tcPr>
            <w:tcW w:w="630" w:type="dxa"/>
            <w:tcBorders/>
          </w:tcPr>
          <w:p>
            <w:pPr>
              <w:pStyle w:val="TOC1"/>
              <w:spacing w:before="120" w:after="120"/>
              <w:rPr/>
            </w:pPr>
            <w:r>
              <w:rPr/>
              <w:fldChar w:fldCharType="begin"/>
            </w:r>
            <w:r>
              <w:rPr/>
              <w:instrText xml:space="preserve"> PAGEREF _Ref489097749 \h </w:instrText>
            </w:r>
            <w:r>
              <w:rPr/>
              <w:fldChar w:fldCharType="separate"/>
            </w:r>
            <w:r>
              <w:rPr/>
              <w:t>29</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w:t>
            </w:r>
          </w:p>
        </w:tc>
        <w:tc>
          <w:tcPr>
            <w:tcW w:w="7627" w:type="dxa"/>
            <w:gridSpan w:val="2"/>
            <w:tcBorders/>
            <w:vAlign w:val="center"/>
          </w:tcPr>
          <w:p>
            <w:pPr>
              <w:pStyle w:val="TOC1"/>
              <w:spacing w:before="120" w:after="120"/>
              <w:rPr/>
            </w:pPr>
            <w:r>
              <w:rPr/>
              <w:t>Management Projections and Assumptions</w:t>
              <w:tab/>
            </w:r>
          </w:p>
        </w:tc>
        <w:tc>
          <w:tcPr>
            <w:tcW w:w="630" w:type="dxa"/>
            <w:tcBorders/>
          </w:tcPr>
          <w:p>
            <w:pPr>
              <w:pStyle w:val="TOC1"/>
              <w:spacing w:before="120" w:after="120"/>
              <w:rPr/>
            </w:pPr>
            <w:r>
              <w:rPr/>
              <w:fldChar w:fldCharType="begin"/>
            </w:r>
            <w:r>
              <w:rPr/>
              <w:instrText xml:space="preserve"> PAGEREF _Ref489097981 \h </w:instrText>
            </w:r>
            <w:r>
              <w:rPr/>
              <w:fldChar w:fldCharType="separate"/>
            </w:r>
            <w:r>
              <w:rPr/>
              <w:t>32</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VIII.</w:t>
            </w:r>
          </w:p>
        </w:tc>
        <w:tc>
          <w:tcPr>
            <w:tcW w:w="7627" w:type="dxa"/>
            <w:gridSpan w:val="2"/>
            <w:tcBorders/>
            <w:vAlign w:val="center"/>
          </w:tcPr>
          <w:p>
            <w:pPr>
              <w:pStyle w:val="TOC1"/>
              <w:spacing w:before="120" w:after="120"/>
              <w:rPr/>
            </w:pPr>
            <w:r>
              <w:rPr/>
              <w:t>Summary of Key Terms and Conditions</w:t>
              <w:tab/>
            </w:r>
          </w:p>
        </w:tc>
        <w:tc>
          <w:tcPr>
            <w:tcW w:w="630" w:type="dxa"/>
            <w:tcBorders/>
          </w:tcPr>
          <w:p>
            <w:pPr>
              <w:pStyle w:val="TOC1"/>
              <w:spacing w:before="120" w:after="120"/>
              <w:rPr/>
            </w:pPr>
            <w:r>
              <w:rPr/>
              <w:fldChar w:fldCharType="begin"/>
            </w:r>
            <w:r>
              <w:rPr/>
              <w:instrText xml:space="preserve"> PAGEREF _Ref489097759 \h </w:instrText>
            </w:r>
            <w:r>
              <w:rPr/>
              <w:fldChar w:fldCharType="separate"/>
            </w:r>
            <w:r>
              <w:rPr/>
              <w:t>35</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u w:val="single"/>
              </w:rPr>
            </w:pPr>
            <w:r>
              <w:rPr>
                <w:b/>
                <w:u w:val="single"/>
              </w:rPr>
              <w:t>Appendices</w:t>
            </w:r>
          </w:p>
        </w:tc>
        <w:tc>
          <w:tcPr>
            <w:tcW w:w="630" w:type="dxa"/>
            <w:tcBorders/>
          </w:tcPr>
          <w:p>
            <w:pPr>
              <w:pStyle w:val="TOC1"/>
              <w:snapToGrid w:val="false"/>
              <w:spacing w:before="120" w:after="120"/>
              <w:rPr>
                <w:u w:val="single"/>
              </w:rPr>
            </w:pPr>
            <w:r>
              <w:rPr>
                <w:u w:val="single"/>
              </w:rPr>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A.  Description of Enron Businesses</w:t>
              <w:tab/>
            </w:r>
          </w:p>
        </w:tc>
        <w:tc>
          <w:tcPr>
            <w:tcW w:w="630" w:type="dxa"/>
            <w:tcBorders/>
          </w:tcPr>
          <w:p>
            <w:pPr>
              <w:pStyle w:val="TOC1"/>
              <w:spacing w:before="120" w:after="120"/>
              <w:rPr/>
            </w:pPr>
            <w:r>
              <w:rPr/>
              <w:fldChar w:fldCharType="begin"/>
            </w:r>
            <w:r>
              <w:rPr/>
              <w:instrText xml:space="preserve"> PAGEREF _Ref489097802 \h </w:instrText>
            </w:r>
            <w:r>
              <w:rPr/>
              <w:fldChar w:fldCharType="separate"/>
            </w:r>
            <w:r>
              <w:rPr/>
              <w:t>43</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B.  Enron’s Risk Assessment and Control Group</w:t>
              <w:tab/>
            </w:r>
          </w:p>
        </w:tc>
        <w:tc>
          <w:tcPr>
            <w:tcW w:w="630" w:type="dxa"/>
            <w:tcBorders/>
          </w:tcPr>
          <w:p>
            <w:pPr>
              <w:pStyle w:val="TOC1"/>
              <w:spacing w:before="120" w:after="120"/>
              <w:rPr/>
            </w:pPr>
            <w:r>
              <w:rPr/>
              <w:fldChar w:fldCharType="begin"/>
            </w:r>
            <w:r>
              <w:rPr/>
              <w:instrText xml:space="preserve"> PAGEREF _Ref489097830 \h </w:instrText>
            </w:r>
            <w:r>
              <w:rPr/>
              <w:fldChar w:fldCharType="separate"/>
            </w:r>
            <w:r>
              <w:rPr/>
              <w:t>44</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C.  Risk Factors and Considerations</w:t>
              <w:tab/>
            </w:r>
          </w:p>
        </w:tc>
        <w:tc>
          <w:tcPr>
            <w:tcW w:w="630" w:type="dxa"/>
            <w:tcBorders/>
          </w:tcPr>
          <w:p>
            <w:pPr>
              <w:pStyle w:val="TOC1"/>
              <w:spacing w:before="120" w:after="120"/>
              <w:rPr/>
            </w:pPr>
            <w:r>
              <w:rPr/>
              <w:fldChar w:fldCharType="begin"/>
            </w:r>
            <w:r>
              <w:rPr/>
              <w:instrText xml:space="preserve"> PAGEREF _Ref489097869 \h </w:instrText>
            </w:r>
            <w:r>
              <w:rPr/>
              <w:fldChar w:fldCharType="separate"/>
            </w:r>
            <w:r>
              <w:rPr/>
              <w:t>45</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D.  Enron’s Transformation of the Natural Gas Industry</w:t>
              <w:tab/>
            </w:r>
          </w:p>
        </w:tc>
        <w:tc>
          <w:tcPr>
            <w:tcW w:w="630" w:type="dxa"/>
            <w:tcBorders/>
          </w:tcPr>
          <w:p>
            <w:pPr>
              <w:pStyle w:val="TOC1"/>
              <w:spacing w:before="120" w:after="120"/>
              <w:rPr/>
            </w:pPr>
            <w:r>
              <w:rPr/>
              <w:fldChar w:fldCharType="begin"/>
            </w:r>
            <w:r>
              <w:rPr/>
              <w:instrText xml:space="preserve"> PAGEREF _Ref489097896 \h </w:instrText>
            </w:r>
            <w:r>
              <w:rPr/>
              <w:fldChar w:fldCharType="separate"/>
            </w:r>
            <w:r>
              <w:rPr/>
              <w:t>47</w:t>
            </w:r>
            <w:r>
              <w:rPr/>
              <w:fldChar w:fldCharType="end"/>
            </w:r>
          </w:p>
        </w:tc>
        <w:tc>
          <w:tcPr>
            <w:tcW w:w="135" w:type="dxa"/>
            <w:tcBorders/>
            <w:tcMar>
              <w:start w:w="0" w:type="dxa"/>
              <w:end w:w="0" w:type="dxa"/>
            </w:tcMar>
          </w:tcPr>
          <w:p>
            <w:pPr>
              <w:pStyle w:val="Normal"/>
              <w:snapToGrid w:val="false"/>
              <w:rPr/>
            </w:pPr>
            <w:r>
              <w:rPr/>
            </w:r>
          </w:p>
        </w:tc>
      </w:tr>
    </w:tbl>
    <w:p>
      <w:pPr>
        <w:sectPr>
          <w:headerReference w:type="default" r:id="rId13"/>
          <w:headerReference w:type="first" r:id="rId14"/>
          <w:footerReference w:type="default" r:id="rId15"/>
          <w:footerReference w:type="first" r:id="rId16"/>
          <w:type w:val="nextPage"/>
          <w:pgSz w:w="12240" w:h="15840"/>
          <w:pgMar w:left="1440" w:right="1440" w:gutter="0" w:header="432" w:top="810" w:footer="720" w:bottom="907"/>
          <w:pgNumType w:start="1" w:fmt="decimal"/>
          <w:formProt w:val="false"/>
          <w:textDirection w:val="lrTb"/>
          <w:docGrid w:type="default" w:linePitch="360" w:charSpace="0"/>
        </w:sectPr>
      </w:pPr>
    </w:p>
    <w:p>
      <w:pPr>
        <w:pStyle w:val="Heading4"/>
        <w:spacing w:lineRule="auto" w:line="240" w:before="0" w:after="60"/>
        <w:ind w:hanging="0" w:start="0"/>
        <w:rPr>
          <w:smallCaps/>
        </w:rPr>
      </w:pPr>
      <w:bookmarkStart w:id="0" w:name="_Ref489097345"/>
      <w:r>
        <mc:AlternateContent>
          <mc:Choice Requires="wps">
            <w:drawing>
              <wp:anchor behindDoc="0" distT="0" distB="0" distL="114935" distR="114935" simplePos="0" locked="0" layoutInCell="1" allowOverlap="1" relativeHeight="37">
                <wp:simplePos x="0" y="0"/>
                <wp:positionH relativeFrom="column">
                  <wp:posOffset>2926080</wp:posOffset>
                </wp:positionH>
                <wp:positionV relativeFrom="paragraph">
                  <wp:posOffset>1207135</wp:posOffset>
                </wp:positionV>
                <wp:extent cx="182880" cy="182880"/>
                <wp:effectExtent l="0" t="0" r="0" b="0"/>
                <wp:wrapNone/>
                <wp:docPr id="9" name=""/>
                <a:graphic xmlns:a="http://schemas.openxmlformats.org/drawingml/2006/main">
                  <a:graphicData uri="http://schemas.microsoft.com/office/word/2010/wordprocessingShape">
                    <wps:wsp>
                      <wps:cNvSpPr/>
                      <wps:spPr>
                        <a:xfrm>
                          <a:off x="0" y="0"/>
                          <a:ext cx="182880" cy="1828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30.4pt;margin-top:95.05pt;width:14.35pt;height:14.35pt;mso-wrap-style:none;v-text-anchor:middle">
                <v:fill o:detectmouseclick="t" type="solid" color2="black"/>
                <v:stroke color="#3465a4" joinstyle="round" endcap="flat"/>
                <w10:wrap type="none"/>
              </v:rect>
            </w:pict>
          </mc:Fallback>
        </mc:AlternateContent>
      </w:r>
      <w:r>
        <w:rPr>
          <w:smallCaps/>
        </w:rPr>
        <w:t>The Offering</w:t>
      </w:r>
      <w:bookmarkEnd w:id="0"/>
      <w:r>
        <w:rPr>
          <w:smallCaps/>
        </w:rPr>
        <w:tab/>
      </w:r>
    </w:p>
    <w:p>
      <w:pPr>
        <w:pStyle w:val="JustifiedBody"/>
        <w:rPr/>
      </w:pPr>
      <w:r>
        <w:rPr/>
        <w:t xml:space="preserve">Enron Net Works Partners, L.P. (“Net Works”) is being established as a limited partnership by Enron Corp., (“Enron” or the “Company”), a leading global integrated energy and communications services company.  Net Works will acquire </w:t>
      </w:r>
      <w:r>
        <w:rPr>
          <w:highlight w:val="yellow"/>
        </w:rPr>
        <w:t>assets</w:t>
      </w:r>
      <w:r>
        <w:rPr/>
        <w:t xml:space="preserve"> in industries that produce products with commodity-like characteristics to assure access to physical product as part of Enron’s strategy to transform the specified industries from “Old” to “New” economy.  While Enron desires to remain a leading energy company, it is aggressively pursuing opportunities to utilize its competencies and proven business model to gain leadership in other industries where Enron’s skills and talents are transferable.  The Company has, for a number of years, been a leading provider of natural gas, power and related financial products and has successfully expanded this position into numerous new markets. </w:t>
      </w:r>
    </w:p>
    <w:p>
      <w:pPr>
        <w:pStyle w:val="JustifiedBody"/>
        <w:rPr/>
      </w:pPr>
      <w:r>
        <w:rPr/>
        <w:t>Enron is currently building a broadband network and is offering bandwidth-related products and services to the telecommunications industry.  Enron is making significant advances in other new markets, such as base metals, emissions credits, pulp and paper and weather derivatives.  Net Works will build on Enron’s foundation in base metals and pulp and paper and will also pursue transforming the lumber and steel industries (the “Targeted Industries”).</w:t>
      </w:r>
    </w:p>
    <w:p>
      <w:pPr>
        <w:pStyle w:val="JustifiedBody"/>
        <w:rPr/>
      </w:pPr>
      <w:r>
        <w:rPr/>
        <w:t xml:space="preserve">Net Works represents Enron’s newest business initiative and relies on the Company’s competencies which have led to success in other industries.  Net Works will utilize Enron’s proven business model which is enhanced by the Internet as a distribution channel.  Net Works plans to develop industry-specific online markets, building on the capabilities of EnronOnline, one of the world’s leading e-marketplaces.  The goal is to become the leading market-maker in the Targeted Industries by using the Internet to complement traditional distribution channels.  Enron is seeking strategic partners who share management’s vision of acquiring select Old Economy assets to transform industries by combining both traditional and online capabilities to deliver a proven, integrated “bricks-and-clicks” solution. </w:t>
      </w:r>
    </w:p>
    <w:p>
      <w:pPr>
        <w:pStyle w:val="JustifiedBody"/>
        <w:rPr/>
      </w:pPr>
      <w:r>
        <w:rPr/>
        <w:t xml:space="preserve">Enron believes that effective execution of this strategy requires that Enron initially has assured access to physical product.  Enron is targeting </w:t>
      </w:r>
      <w:r>
        <w:rPr>
          <w:highlight w:val="yellow"/>
        </w:rPr>
        <w:t>$1.0</w:t>
      </w:r>
      <w:r>
        <w:rPr/>
        <w:t xml:space="preserve"> billion in total equity commitments in order to make acquisitions to obtain access to product flows and domain expertise in the Targeted Industries.  Enron has already begun to pursue the strategy contemplated for Net Works through the Company’s acquisition of MG plc, a global base metals intermediation business, and the pending acquisition of Garden State Paper Company, Inc., a recycled newsprint mill.</w:t>
      </w:r>
    </w:p>
    <w:p>
      <w:pPr>
        <w:pStyle w:val="Heading4"/>
        <w:spacing w:lineRule="auto" w:line="240" w:before="60" w:after="60"/>
        <w:ind w:hanging="0" w:start="0"/>
        <w:rPr>
          <w:smallCaps/>
        </w:rPr>
      </w:pPr>
      <w:r>
        <w:rPr>
          <w:smallCaps/>
        </w:rPr>
        <w:t>Enron’s Business Model</w:t>
      </w:r>
    </w:p>
    <w:p>
      <w:pPr>
        <w:pStyle w:val="JustifiedBody"/>
        <w:spacing w:before="0" w:after="60"/>
        <w:rPr/>
      </w:pPr>
      <w:r>
        <w:rPr/>
        <w:t>Over the past decade, Enron has created an entrepreneurial culture that rapidly adjusts to changing market environments.  The Company believes it has led the transformation of several industries into efficient business-to-business (“B2B”) marketplaces.  Enron has long held that what a company owns is not as important as what it knows, and has successfully evolved from a regulated energy company, where revenues were driven by obtaining a return on physical assets, to a company that is focused on leveraging its intellectual capital.  Enron transforms industries by serving as a principal market-maker, increasing price transparency and using sophisticated financial products to provide innovative solutions for market participants, while also providing logistics and settlement services.</w:t>
      </w:r>
    </w:p>
    <w:tbl>
      <w:tblPr>
        <w:tblW w:w="9360" w:type="dxa"/>
        <w:jc w:val="start"/>
        <w:tblInd w:w="108" w:type="dxa"/>
        <w:tblLayout w:type="fixed"/>
        <w:tblCellMar>
          <w:top w:w="0" w:type="dxa"/>
          <w:start w:w="108" w:type="dxa"/>
          <w:bottom w:w="0" w:type="dxa"/>
          <w:end w:w="108" w:type="dxa"/>
        </w:tblCellMar>
      </w:tblPr>
      <w:tblGrid>
        <w:gridCol w:w="5850"/>
        <w:gridCol w:w="351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rPr>
              <w:t>Enron’s Business Strategy</w:t>
            </w:r>
          </w:p>
        </w:tc>
      </w:tr>
      <w:tr>
        <w:trPr>
          <w:trHeight w:val="2628" w:hRule="atLeast"/>
        </w:trPr>
        <w:tc>
          <w:tcPr>
            <w:tcW w:w="5850" w:type="dxa"/>
            <w:tcBorders>
              <w:start w:val="single" w:sz="4" w:space="0" w:color="000000"/>
              <w:bottom w:val="single" w:sz="4" w:space="0" w:color="000000"/>
            </w:tcBorders>
          </w:tcPr>
          <w:p>
            <w:pPr>
              <w:pStyle w:val="JustifiedBody"/>
              <w:spacing w:before="60" w:after="0"/>
              <w:jc w:val="center"/>
              <w:rPr>
                <w:i/>
                <w:i/>
                <w:sz w:val="20"/>
              </w:rPr>
            </w:pPr>
            <w:r>
              <w:rPr>
                <w:i/>
              </w:rPr>
              <w:drawing>
                <wp:inline distT="0" distB="0" distL="0" distR="0">
                  <wp:extent cx="3457575" cy="1604645"/>
                  <wp:effectExtent l="0" t="0" r="0" b="0"/>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17"/>
                          <a:srcRect l="-6" t="-12" r="-6" b="-12"/>
                          <a:stretch>
                            <a:fillRect/>
                          </a:stretch>
                        </pic:blipFill>
                        <pic:spPr bwMode="auto">
                          <a:xfrm>
                            <a:off x="0" y="0"/>
                            <a:ext cx="3457575" cy="1604645"/>
                          </a:xfrm>
                          <a:prstGeom prst="rect">
                            <a:avLst/>
                          </a:prstGeom>
                          <a:noFill/>
                        </pic:spPr>
                      </pic:pic>
                    </a:graphicData>
                  </a:graphic>
                </wp:inline>
              </w:drawing>
            </w:r>
          </w:p>
        </w:tc>
        <w:tc>
          <w:tcPr>
            <w:tcW w:w="3510" w:type="dxa"/>
            <w:tcBorders>
              <w:bottom w:val="single" w:sz="4" w:space="0" w:color="000000"/>
              <w:end w:val="single" w:sz="4" w:space="0" w:color="000000"/>
            </w:tcBorders>
          </w:tcPr>
          <w:p>
            <w:pPr>
              <w:pStyle w:val="JustifiedBody"/>
              <w:spacing w:before="40" w:after="0"/>
              <w:rPr>
                <w:i/>
                <w:i/>
              </w:rPr>
            </w:pPr>
            <w:r>
              <w:rPr>
                <w:i/>
                <w:sz w:val="20"/>
              </w:rPr>
              <w:t>By establishing a credible presence in a market through obtaining physical assets and contractual access to others’ physical product, Enron is able to utilize its market-making capabilities to create liquidity.  This subsequently allows the Company to offer high margin customized products which utilize sophisticated financial instruments to allow consumers to purchase product on their desired terms.</w:t>
            </w:r>
          </w:p>
        </w:tc>
      </w:tr>
    </w:tbl>
    <w:p>
      <w:pPr>
        <w:sectPr>
          <w:headerReference w:type="default" r:id="rId18"/>
          <w:headerReference w:type="first" r:id="rId19"/>
          <w:footerReference w:type="default" r:id="rId20"/>
          <w:footerReference w:type="first" r:id="rId21"/>
          <w:type w:val="nextPage"/>
          <w:pgSz w:w="12240" w:h="15840"/>
          <w:pgMar w:left="1440" w:right="1440" w:gutter="0" w:header="432" w:top="1350" w:footer="720" w:bottom="776"/>
          <w:pgNumType w:start="1" w:fmt="decimal"/>
          <w:formProt w:val="false"/>
          <w:titlePg/>
          <w:textDirection w:val="lrTb"/>
          <w:docGrid w:type="default" w:linePitch="360" w:charSpace="0"/>
        </w:sectPr>
      </w:pPr>
    </w:p>
    <w:p>
      <w:pPr>
        <w:pStyle w:val="JustifiedBody"/>
        <w:spacing w:before="60" w:after="120"/>
        <w:rPr/>
      </w:pPr>
      <w:r>
        <w:rPr/>
        <w:t>Traditional commodity-like markets are typically very inefficient.  Suppliers struggling to maintain pricing integrity expend enormous energy convincing consumers their product is differentiated, when differences are often minimal.  Suppliers generally sell their products to consumers under contracts that do not provide stability to their revenue stream or provide any flexibility to their production process. Consumers encounter risks if they do business with unknown parties where quality and delivery are unreliable and generally purchase products under contracts that do not ensure long term price stability.  The Enron business model increases market efficiency by allowing consumers to purchase product that is less expensive with the assurance of quality and delivery reliability.  Enron believes it has successfully transformed eight markets (including two natural gas markets, five power markets and the global coal market) with commodity-like products, and is in the process of using its expertise to change the way buyers and sellers interact in five other markets (base metals, broadband, emissions credits, pulp and paper and weather derivatives).  Substantial efficiency can be created in a market where a sophisticated intermediary exists, providing both the supplier and consumer with what they require.</w:t>
      </w:r>
      <w:r>
        <w:rPr>
          <w:color w:val="FF0000"/>
          <w:sz w:val="24"/>
        </w:rPr>
        <w:t xml:space="preserve"> </w:t>
      </w:r>
    </w:p>
    <w:p>
      <w:pPr>
        <w:pStyle w:val="JustifiedBody"/>
        <w:spacing w:before="60" w:after="120"/>
        <w:rPr/>
      </w:pPr>
      <w:r>
        <w:rPr/>
        <w:t>In transforming industries with commodity-like product into efficient marketplaces, Enron utilizes the following formula: (1) definition of physical product standards to create base commodities; (2) creation of liquidity by serving as a market-maker; (3) use of its liquidity to provide the markets with innovative financial products; (4) provision of settlement activity and back-office support to facilitate an orderly exchange; (5) development of networks for physical distribution to allow efficient and cost effective delivery of product; (6) dedication of an independent staff of risk management professionals (who report to Enron’s Board of Directors) to manage the Company’s risk through utilization of “value at risk” and other sophisticated portfolio management techniques; (7) benefits from its investment in information technology to enable both its market-making activity and risk management functions; and (8) development and management of origination professionals who are financially skilled and able to sell high margin, customized contracts, many of which are long-term in nature.  This business model has allowed Enron to obtain leading market share positions in several markets and enhance customer retention and profitability.</w:t>
      </w:r>
    </w:p>
    <w:p>
      <w:pPr>
        <w:pStyle w:val="JustifiedBody"/>
        <w:rPr/>
      </w:pPr>
      <w:r>
        <w:rPr/>
        <w:t>Once Enron creates an efficient market, its profitability is primarily driven by its ability to sell high-margin, customized contracts that allow users to purchase a given commodity on the user’s desired terms. As a market-maker, volume is also a profitability driver, independent of the direction or magnitude of commodity price swings.  Enron’s experience has led it to conclude that product access is critical to market-making.  Access allows Enron to create market liquidity, ensure product delivery and mitigate risks when providing risk management products to its customers.  Net Works is raising capital to obtain production capacity, industry expertise and assured access to physical product in the Targeted Industries.</w:t>
      </w:r>
    </w:p>
    <w:p>
      <w:pPr>
        <w:pStyle w:val="JustifiedBody"/>
        <w:rPr/>
      </w:pPr>
      <w:r>
        <w:rPr/>
        <w:t xml:space="preserve">Net Works is the most recent extension of Enron’s innovative culture.  </w:t>
      </w:r>
      <w:r>
        <w:rPr>
          <w:i/>
        </w:rPr>
        <w:t>Fortune</w:t>
      </w:r>
      <w:r>
        <w:rPr/>
        <w:t xml:space="preserve"> magazine recognized Enron as the Most Innovative Company of 2000, marking the fifth consecutive year for the Company to receive such recognition.  </w:t>
      </w:r>
      <w:r>
        <w:rPr>
          <w:i/>
        </w:rPr>
        <w:t>Fortune</w:t>
      </w:r>
      <w:r>
        <w:rPr/>
        <w:t xml:space="preserve"> also ranked Enron #1 in Quality of Management and #2 in Employee Talent of all U.S. companies.  Enron is dedicating to Net Works a core team of over 100 business-focused professionals with substantial Enron experience and electronic and online commerce (“eCommerce”) expertise.  This team will effectively combine an aggressive Internet strategy with Enron’s proven business model.</w:t>
      </w:r>
    </w:p>
    <w:p>
      <w:pPr>
        <w:pStyle w:val="Heading4"/>
        <w:keepNext w:val="false"/>
        <w:spacing w:lineRule="auto" w:line="240" w:before="60" w:after="60"/>
        <w:ind w:hanging="0" w:start="0"/>
        <w:jc w:val="both"/>
        <w:rPr>
          <w:smallCaps/>
        </w:rPr>
      </w:pPr>
      <w:r>
        <w:rPr>
          <w:smallCaps/>
        </w:rPr>
        <w:t xml:space="preserve">Business-To-Business eCommerce </w:t>
      </w:r>
    </w:p>
    <w:p>
      <w:pPr>
        <w:pStyle w:val="JustifiedBody"/>
        <w:spacing w:before="0" w:after="0"/>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increased and secure bandwidth has accelerated opportunities for B2B eCommerce.  This offers the potential for organizations to increase revenue, streamline complex business processes and supply chains, reduce costs and improve productivity.</w:t>
      </w:r>
    </w:p>
    <w:p>
      <w:pPr>
        <w:pStyle w:val="JustifiedBody"/>
        <w:spacing w:before="120" w:after="120"/>
        <w:rPr/>
      </w:pPr>
      <w:r>
        <w:rPr/>
        <w:t>The dynamics of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create significant efficiencies by bringing together buyers, sellers and information in open, online marketplaces that automate complex business processes and supply chains.</w:t>
      </w:r>
    </w:p>
    <w:p>
      <w:pPr>
        <w:pStyle w:val="JustifiedBody"/>
        <w:rPr/>
      </w:pPr>
      <w:r>
        <w:rPr/>
        <w:t xml:space="preserve">eCommerce is experiencing explosive growth with online trading activity estimated by Jupiter Communications (“Jupiter”)  to reach 42% of all U.S. non-service B2B transactions by 2005.  Jupiter, an authority on Internet commerce, expects this revolutionary growth to open the doors for new business models.  Industry analysts conclude that online marketplaces can completely disrupt current channels and alter how companies and industries conduct business.  Companies which are perceived as being part of the “Old Economy” are trading at relatively low valuations in the public markets relative to those perceived as being part of the “New Economy.” Enron believes that those who are able to utilize these undervalued assets to create leading New Economy companies can create significant value. </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color w:val="FFFFFF"/>
              </w:rPr>
            </w:pPr>
            <w:r>
              <w:rPr>
                <w:b/>
                <w:smallCaps/>
                <w:color w:val="FFFFFF"/>
              </w:rPr>
              <w:t>A Market-Maker’s  Effect on a Market</w:t>
            </w:r>
          </w:p>
        </w:tc>
      </w:tr>
      <w:tr>
        <w:trPr>
          <w:trHeight w:val="234" w:hRule="atLeast"/>
        </w:trPr>
        <w:tc>
          <w:tcPr>
            <w:tcW w:w="4680" w:type="dxa"/>
            <w:tcBorders>
              <w:start w:val="single" w:sz="4" w:space="0" w:color="000000"/>
            </w:tcBorders>
          </w:tcPr>
          <w:p>
            <w:pPr>
              <w:pStyle w:val="Normal"/>
              <w:pBdr>
                <w:bottom w:val="single" w:sz="4" w:space="1" w:color="000000"/>
              </w:pBdr>
              <w:jc w:val="center"/>
              <w:rPr>
                <w:b/>
                <w:sz w:val="22"/>
              </w:rPr>
            </w:pPr>
            <w:r>
              <w:rPr>
                <w:b/>
                <w:sz w:val="22"/>
              </w:rPr>
              <w:t>Without a Market-Maker</w:t>
            </w:r>
          </w:p>
          <w:p>
            <w:pPr>
              <w:pStyle w:val="Normal"/>
              <w:pBdr>
                <w:bottom w:val="single" w:sz="4" w:space="1" w:color="000000"/>
              </w:pBdr>
              <w:jc w:val="center"/>
              <w:rPr>
                <w:i/>
                <w:i/>
              </w:rPr>
            </w:pPr>
            <w:r>
              <w:rPr>
                <w:b/>
                <w:i/>
                <w:highlight w:val="yellow"/>
              </w:rPr>
              <w:t>(No Liquidity)</w:t>
            </w:r>
          </w:p>
        </w:tc>
        <w:tc>
          <w:tcPr>
            <w:tcW w:w="4680" w:type="dxa"/>
            <w:tcBorders>
              <w:end w:val="single" w:sz="4" w:space="0" w:color="000000"/>
            </w:tcBorders>
          </w:tcPr>
          <w:p>
            <w:pPr>
              <w:pStyle w:val="Normal"/>
              <w:pBdr>
                <w:bottom w:val="single" w:sz="4" w:space="1" w:color="000000"/>
              </w:pBdr>
              <w:jc w:val="center"/>
              <w:rPr>
                <w:b/>
                <w:sz w:val="22"/>
              </w:rPr>
            </w:pPr>
            <w:r>
              <w:rPr>
                <w:b/>
                <w:sz w:val="22"/>
              </w:rPr>
              <w:t>With a Market-Maker</w:t>
            </w:r>
          </w:p>
          <w:p>
            <w:pPr>
              <w:pStyle w:val="Normal"/>
              <w:pBdr>
                <w:bottom w:val="single" w:sz="4" w:space="1" w:color="000000"/>
              </w:pBdr>
              <w:jc w:val="center"/>
              <w:rPr>
                <w:i/>
                <w:i/>
              </w:rPr>
            </w:pPr>
            <w:r>
              <w:rPr>
                <w:b/>
                <w:i/>
              </w:rPr>
              <w:t>(Liquidity)</w:t>
            </w:r>
          </w:p>
        </w:tc>
      </w:tr>
      <w:tr>
        <w:trPr>
          <w:trHeight w:val="2457" w:hRule="exact"/>
        </w:trPr>
        <w:tc>
          <w:tcPr>
            <w:tcW w:w="4680" w:type="dxa"/>
            <w:tcBorders>
              <w:start w:val="single" w:sz="4" w:space="0" w:color="000000"/>
              <w:bottom w:val="single" w:sz="4" w:space="0" w:color="000000"/>
            </w:tcBorders>
          </w:tcPr>
          <w:p>
            <w:pPr>
              <w:pStyle w:val="Normal"/>
              <w:spacing w:before="40" w:after="120"/>
              <w:jc w:val="center"/>
              <w:rPr/>
            </w:pPr>
            <w:r>
              <w:rPr/>
              <w:drawing>
                <wp:inline distT="0" distB="0" distL="0" distR="0">
                  <wp:extent cx="2200910" cy="1557655"/>
                  <wp:effectExtent l="0" t="0" r="0" b="0"/>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22"/>
                          <a:srcRect l="-5" t="-8" r="-5" b="-8"/>
                          <a:stretch>
                            <a:fillRect/>
                          </a:stretch>
                        </pic:blipFill>
                        <pic:spPr bwMode="auto">
                          <a:xfrm>
                            <a:off x="0" y="0"/>
                            <a:ext cx="2200910" cy="1557655"/>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Normal"/>
              <w:spacing w:before="40" w:after="60"/>
              <w:jc w:val="center"/>
              <w:rPr/>
            </w:pPr>
            <w:r>
              <w:rPr/>
              <w:drawing>
                <wp:inline distT="0" distB="0" distL="0" distR="0">
                  <wp:extent cx="2193925" cy="1557655"/>
                  <wp:effectExtent l="0" t="0" r="0" b="0"/>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23"/>
                          <a:srcRect l="-5" t="-8" r="-5" b="-8"/>
                          <a:stretch>
                            <a:fillRect/>
                          </a:stretch>
                        </pic:blipFill>
                        <pic:spPr bwMode="auto">
                          <a:xfrm>
                            <a:off x="0" y="0"/>
                            <a:ext cx="2193925" cy="1557655"/>
                          </a:xfrm>
                          <a:prstGeom prst="rect">
                            <a:avLst/>
                          </a:prstGeom>
                          <a:noFill/>
                        </pic:spPr>
                      </pic:pic>
                    </a:graphicData>
                  </a:graphic>
                </wp:inline>
              </w:drawing>
            </w:r>
            <w:r>
              <w:rPr/>
              <w:br/>
            </w:r>
          </w:p>
        </w:tc>
      </w:tr>
    </w:tbl>
    <w:p>
      <w:pPr>
        <w:pStyle w:val="JustifiedBody"/>
        <w:numPr>
          <w:ilvl w:val="0"/>
          <w:numId w:val="0"/>
        </w:numPr>
        <w:spacing w:before="120" w:after="0"/>
        <w:outlineLvl w:val="0"/>
        <w:rPr>
          <w:b/>
          <w:smallCaps/>
          <w:sz w:val="24"/>
        </w:rPr>
      </w:pPr>
      <w:r>
        <w:rPr>
          <w:b/>
          <w:smallCaps/>
          <w:sz w:val="24"/>
        </w:rPr>
        <w:t>EnronOnline</w:t>
      </w:r>
    </w:p>
    <w:p>
      <w:pPr>
        <w:pStyle w:val="JustifiedBody"/>
        <w:spacing w:before="60" w:after="60"/>
        <w:rPr/>
      </w:pPr>
      <w:r>
        <w:rPr/>
        <w:t>Enron recognizes that the Internet is dramatically changing the rules of commerce.  In November 1999, the Company launched EnronOnline as its principal-based eCommerce platform to create a more efficient marketplace and extend the Company’s customer reach.  EnronOnline has established itself as one of the world’s largest e-marketplaces, making a market for over 800 products and generating approximately $1.0 billion of daily notional volume.  EnronOnline allows the Company to reach a broader customer base and deliver with greater convenience and lower cost the sophisticated products it has developed over the past decade.  The power of the Internet is illustrated by Enron’s success in natural gas, in which the Company more than doubled its pre-existing physical volume in what was considered a mature market during EnronOnline’s first six months of activity.  EnronOnline’s technology and capabilities will be utilized by Net Works.</w:t>
      </w:r>
    </w:p>
    <w:p>
      <w:pPr>
        <w:pStyle w:val="JustifiedBody"/>
        <w:spacing w:before="60" w:after="60"/>
        <w:rPr/>
      </w:pPr>
      <w:r>
        <w:rPr>
          <w:highlight w:val="yellow"/>
        </w:rPr>
        <w:t>EnronOnline allows buyers and sellers to trade with an established counterparty who serves as a principal in each transaction, acting as the buyer or seller in every contract.  EnronOnline allows market participants to enter into all the various types of trades that could be made traditionally (including forwards, futures, options and swaps) for various commodities on a global basis.  By utilizing financial products, Enron is able to offer users the ability to manage the volatility of long-term commodity purchases and sales.  Enron believes that its eCommerce business model is superior to other companies that are attempting to organize online exchanges.  B2B exchanges typically attempt to match buyers and sellers allowing execution of transactions off a website, while EnronOnline offers complete technology and capabilities including terms, logistics and settlement services.  Other e-marketplaces have yet to create liquidity and do not benefit from the credibility EnronOnline receives as a trusted counterparty with a parent company that has years of experience providing intermediation products and services and provides a liquid market for buyers and sellers.</w:t>
      </w:r>
      <w:r>
        <w:rPr/>
        <w:t xml:space="preserve"> </w:t>
      </w:r>
    </w:p>
    <w:p>
      <w:pPr>
        <w:pStyle w:val="JustifiedBody"/>
        <w:spacing w:before="120" w:after="120"/>
        <w:rPr/>
      </w:pPr>
      <w:r>
        <w:rPr/>
        <w:t xml:space="preserve">Creating an efficient market for transactions increases the volume of trades for a given commodity.  </w:t>
      </w:r>
      <w:r>
        <w:rPr>
          <w:highlight w:val="yellow"/>
        </w:rPr>
        <w:t xml:space="preserve">Velocity (the number of times a product is traded between production and consumption) increases as market participants have an available market to buy and sell when they want to hedge a risk or purely speculate.  </w:t>
      </w:r>
      <w:r>
        <w:rPr/>
        <w:t>Enron’s management believes that crude oil is traded approximately ten times before it is actually consumed, and for natural gas, the ratio is believed to be at least ten to one.  The Company expects velocity will continue to grow as online trading obtains even greater acceptance.</w:t>
      </w:r>
    </w:p>
    <w:p>
      <w:pPr>
        <w:pStyle w:val="Heading4"/>
        <w:spacing w:lineRule="auto" w:line="240" w:before="60" w:after="60"/>
        <w:ind w:hanging="0" w:start="0"/>
        <w:rPr>
          <w:smallCaps/>
        </w:rPr>
      </w:pPr>
      <w:r>
        <w:rPr>
          <w:smallCaps/>
        </w:rPr>
        <w:t xml:space="preserve">The Net Works Business Plan                            </w:t>
      </w:r>
    </w:p>
    <w:p>
      <w:pPr>
        <w:pStyle w:val="JustifiedBody"/>
        <w:spacing w:before="0" w:after="0"/>
        <w:rPr/>
      </w:pPr>
      <w:r>
        <w:rPr/>
        <w:t>Net Works will utilize the Enron business model to pursue new markets.  To gain access to physical product flow in the Targeted Industries, Net Works will pursue acquisitions of: (a) intermediaries that provide physical capabilities to expand into new industries (e.g. MG plc); (b) contractual access to physical product; or (c) production capacity (e.g. Garden State).  By obtaining assured access to the commodity, Net Works can ensure quality and delivery to its counterparties.  With Old Economy companies currently trading at relatively low valuations, there is an opportunity to earn compelling returns by incorporating these relatively undervalued assets into a New Economy business model.  Net Works intends to acquire access to these physical flows while minimizing its capital investment.</w:t>
      </w:r>
    </w:p>
    <w:p>
      <w:pPr>
        <w:pStyle w:val="JustifiedBody"/>
        <w:spacing w:before="120" w:after="0"/>
        <w:rPr/>
      </w:pPr>
      <w:r>
        <w:rPr/>
        <w:t xml:space="preserve">Once Net Works has acquired assured access to a commodity and created product standards, an e-marketplace can be developed, utilizing EnronOnline’s technology and capabilities.  This will provide participants with real-time bid/ask quotes based on market supply and demand.  Enron has developed proprietary technology that allows real-time market prices to be calculated based on buying and selling pressures.  This ability to continuously update market prices creates transparency and is critical to establishing market liquidity.  In addition to creating pricing efficiency, Net Works will provide sophisticated logistics and settlement capabilities to ensure efficient product delivery and facilitate an orderly marketplace.   </w:t>
      </w:r>
    </w:p>
    <w:p>
      <w:pPr>
        <w:pStyle w:val="JustifiedBody"/>
        <w:spacing w:before="120" w:after="0"/>
        <w:rPr/>
      </w:pPr>
      <w:r>
        <w:rPr/>
        <w:t xml:space="preserve">Net Works expects the creation of an efficient marketplace to significantly reduce product prices and generate liquidity in its Targeted Industries, leading to significant increases in trading volume.  End product users are able to benefit from greater price transparency and new products regardless of their size or physical location.  Net Works plans to become the leading e-marketplace in its Targeted Industries creating liquidity for buyers and sellers, reducing transaction costs and allowing buyers and sellers to better manage their price exposure.  Net Works will utilize financial risk management products to allow product to be purchased or sold on a long-term basis with greater pricing certainty. </w:t>
      </w:r>
    </w:p>
    <w:p>
      <w:pPr>
        <w:pStyle w:val="JustifiedBody"/>
        <w:spacing w:before="120" w:after="0"/>
        <w:rPr/>
      </w:pPr>
      <w:r>
        <w:rPr/>
        <w:t>Net Works expects the rapid penetration of new marketplaces to be facilitated by the ability to utilize technology already developed by EnronOnline.  As a market-maker, Net Works will generate profits from realizing bid/ask spreads.  However, a more significant profit margin is generated by selling customized term-structured products that can only be structured by a sophisticated market-maker that has access to significant market volume.</w:t>
      </w:r>
    </w:p>
    <w:p>
      <w:pPr>
        <w:pStyle w:val="Heading4"/>
        <w:spacing w:lineRule="auto" w:line="240" w:before="240" w:after="60"/>
        <w:ind w:hanging="0" w:start="0"/>
        <w:rPr>
          <w:b w:val="false"/>
          <w:smallCaps/>
        </w:rPr>
      </w:pPr>
      <w:r>
        <w:rPr>
          <w:smallCaps/>
        </w:rPr>
        <w:t>Targeted Industries</w:t>
      </w:r>
    </w:p>
    <w:p>
      <w:pPr>
        <w:pStyle w:val="JustifiedBody"/>
        <w:rPr/>
      </w:pPr>
      <w:r>
        <w:rPr/>
        <w:t xml:space="preserve">Enron has identified several industries which offer the opportunity to replicate the success attained in other markets.  Characteristics that Net Works believes make an industry well-suited for the application of Enron’s business model include: (a) commodity-like products; (b) capital intensive; (c) price volatility; (d) products which are a significant percentage of customers’ total cost; (e) inefficient sales processes; (f) complex logistics systems; and (g) slow moving, highly fragmented markets with no dominant participant. </w:t>
      </w:r>
    </w:p>
    <w:p>
      <w:pPr>
        <w:pStyle w:val="JustifiedBody"/>
        <w:rPr/>
      </w:pPr>
      <w:r>
        <w:rPr/>
        <w:t xml:space="preserve">Enron will pursue through Net Works those opportunities that require a substantial capital investment in order to create assured access to product flows.  After a broad evaluation of various industries, Enron selected base metals, pulp and paper, lumber and steel as the initial industries it would pursue.  Enron has been analyzing several other industries and believes that the Internet’s capabilities for accelerating market penetration provides an attractive opportunity in additional industries.  Enron is currently reviewing several other attractive industries and considering the next opportunity to pursue. </w:t>
      </w:r>
    </w:p>
    <w:p>
      <w:pPr>
        <w:pStyle w:val="JustifiedBody"/>
        <w:rPr/>
      </w:pPr>
      <w:r>
        <w:rPr/>
        <w:t xml:space="preserve">In base metals, Enron has already begun to pursue the Net Works strategy through the $446 million acquisition of MG plc, a leading base metals business.  MG plc will provide Net Works with an immediate platform to apply its strategies.  Enron announced the acquisition of MG plc in May 2000 and will provide bridge financing until Net Works obtains long-term financing. </w:t>
      </w:r>
    </w:p>
    <w:p>
      <w:pPr>
        <w:pStyle w:val="JustifiedBody"/>
        <w:rPr/>
      </w:pPr>
      <w:r>
        <w:rPr/>
        <w:t>In pulp and paper, Enron has developed a successful financial trading portfolio and has explored joint ventures or alliances with established producers to increase Enron’s access to physical product.  Enron has announced the pending acquisition of Garden State Paper Company, Inc. as their initial acquisition in the pulp and paper industry.  Enron has identified several other attractive opportunities and still plans to acquire stand-alone mills or a pulp and paper manufacturer.  Securing additional production assets will anchor the [intermediation] activities the Company has already established and allow it to apply its proven business model.  Enron has had initial discussions with a potential acquisition candidate; however, no formal or informal agreements have been reached.</w:t>
      </w:r>
    </w:p>
    <w:p>
      <w:pPr>
        <w:pStyle w:val="Heading4"/>
        <w:spacing w:lineRule="auto" w:line="240" w:before="60" w:after="60"/>
        <w:ind w:hanging="0" w:start="0"/>
        <w:rPr>
          <w:b w:val="false"/>
          <w:smallCaps/>
        </w:rPr>
      </w:pPr>
      <w:r>
        <w:rPr>
          <w:smallCaps/>
        </w:rPr>
        <w:t>Financial Summary</w:t>
      </w:r>
    </w:p>
    <w:p>
      <w:pPr>
        <w:pStyle w:val="JustifiedBody"/>
        <w:spacing w:before="0" w:after="60"/>
        <w:rPr/>
      </w:pPr>
      <w:r>
        <w:rPr/>
        <w:t xml:space="preserve">Net Works has developed a detailed financial model to project potential economic performance of the business plan.  Numerous assumptions were made including assumptions regarding the timing and financial profiles of acquired companies, synergies, potential revenue and margin growth, and capital structure utilized.  The base case summarized below reflects what management believes to be a conservative estimate of possible results.  Gross profit is the most meaningful measure of a company’s performance since large revenues and cost of goods sold are recorded with regard to the execution of each transaction.  The base case scenario assumes acquisitions of base metals and pulp and paper companies prior to the end of 2000, and projects that gross profit will grow on average 20.0% annually over the next five years with margin from long-term structured transactions growth being the key growth driver.  Additional discussion of the financial model and its assumptions can be reviewed in Section VII of this Memorandum.  </w:t>
      </w:r>
    </w:p>
    <w:tbl>
      <w:tblPr>
        <w:tblW w:w="9360" w:type="dxa"/>
        <w:jc w:val="start"/>
        <w:tblInd w:w="108" w:type="dxa"/>
        <w:tblLayout w:type="fixed"/>
        <w:tblCellMar>
          <w:top w:w="0" w:type="dxa"/>
          <w:start w:w="108" w:type="dxa"/>
          <w:bottom w:w="0" w:type="dxa"/>
          <w:end w:w="108" w:type="dxa"/>
        </w:tblCellMar>
      </w:tblPr>
      <w:tblGrid>
        <w:gridCol w:w="1620"/>
        <w:gridCol w:w="360"/>
        <w:gridCol w:w="1080"/>
        <w:gridCol w:w="1260"/>
        <w:gridCol w:w="1260"/>
        <w:gridCol w:w="1260"/>
        <w:gridCol w:w="1260"/>
        <w:gridCol w:w="1260"/>
      </w:tblGrid>
      <w:tr>
        <w:trPr>
          <w:trHeight w:val="400" w:hRule="exact"/>
        </w:trPr>
        <w:tc>
          <w:tcPr>
            <w:tcW w:w="9360" w:type="dxa"/>
            <w:gridSpan w:val="8"/>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60" w:after="120"/>
              <w:ind w:end="547"/>
              <w:jc w:val="center"/>
              <w:rPr>
                <w:b/>
                <w:smallCaps/>
                <w:color w:val="FFFFFF"/>
                <w:sz w:val="24"/>
              </w:rPr>
            </w:pPr>
            <w:r>
              <w:rPr>
                <w:b/>
                <w:smallCaps/>
                <w:color w:val="FFFFFF"/>
                <w:sz w:val="24"/>
              </w:rPr>
              <w:t xml:space="preserve">Summary of Projected Financial Performance </w:t>
            </w:r>
          </w:p>
        </w:tc>
      </w:tr>
      <w:tr>
        <w:trPr/>
        <w:tc>
          <w:tcPr>
            <w:tcW w:w="1980" w:type="dxa"/>
            <w:gridSpan w:val="2"/>
            <w:tcBorders>
              <w:top w:val="single" w:sz="4" w:space="0" w:color="000000"/>
              <w:start w:val="single" w:sz="4" w:space="0" w:color="000000"/>
            </w:tcBorders>
            <w:tcMar>
              <w:start w:w="30" w:type="dxa"/>
              <w:end w:w="30" w:type="dxa"/>
            </w:tcMar>
            <w:vAlign w:val="bottom"/>
          </w:tcPr>
          <w:p>
            <w:pPr>
              <w:pStyle w:val="Normal"/>
              <w:rPr>
                <w:i/>
                <w:i/>
                <w:color w:val="000000"/>
                <w:sz w:val="16"/>
              </w:rPr>
            </w:pPr>
            <w:r>
              <w:rPr>
                <w:i/>
                <w:color w:val="000000"/>
                <w:sz w:val="16"/>
              </w:rPr>
              <w:t>($ in millions)</w:t>
            </w:r>
          </w:p>
        </w:tc>
        <w:tc>
          <w:tcPr>
            <w:tcW w:w="7380" w:type="dxa"/>
            <w:gridSpan w:val="6"/>
            <w:tcBorders>
              <w:top w:val="single" w:sz="4" w:space="0" w:color="000000"/>
              <w:end w:val="single" w:sz="4" w:space="0" w:color="000000"/>
            </w:tcBorders>
            <w:tcMar>
              <w:start w:w="30" w:type="dxa"/>
              <w:end w:w="30" w:type="dxa"/>
            </w:tcMar>
          </w:tcPr>
          <w:p>
            <w:pPr>
              <w:pStyle w:val="Normal"/>
              <w:jc w:val="center"/>
              <w:rPr>
                <w:b/>
                <w:i/>
                <w:i/>
                <w:color w:val="000000"/>
                <w:sz w:val="18"/>
              </w:rPr>
            </w:pPr>
            <w:r>
              <w:rPr>
                <w:b/>
                <w:i/>
                <w:color w:val="000000"/>
                <w:sz w:val="18"/>
              </w:rPr>
              <w:t>Years Ended December 31,</w:t>
            </w:r>
          </w:p>
        </w:tc>
      </w:tr>
      <w:tr>
        <w:trPr/>
        <w:tc>
          <w:tcPr>
            <w:tcW w:w="1980" w:type="dxa"/>
            <w:gridSpan w:val="2"/>
            <w:tcBorders>
              <w:start w:val="single" w:sz="4" w:space="0" w:color="000000"/>
            </w:tcBorders>
            <w:tcMar>
              <w:start w:w="30" w:type="dxa"/>
              <w:end w:w="30" w:type="dxa"/>
            </w:tcMar>
          </w:tcPr>
          <w:p>
            <w:pPr>
              <w:pStyle w:val="Normal"/>
              <w:snapToGrid w:val="false"/>
              <w:rPr>
                <w:b/>
                <w:i/>
                <w:i/>
                <w:color w:val="000000"/>
                <w:sz w:val="16"/>
              </w:rPr>
            </w:pPr>
            <w:r>
              <w:rPr>
                <w:b/>
                <w:i/>
                <w:color w:val="000000"/>
                <w:sz w:val="16"/>
              </w:rPr>
            </w:r>
          </w:p>
        </w:tc>
        <w:tc>
          <w:tcPr>
            <w:tcW w:w="1080" w:type="dxa"/>
            <w:tcBorders>
              <w:top w:val="single" w:sz="4" w:space="0" w:color="000000"/>
              <w:bottom w:val="single" w:sz="4" w:space="0" w:color="000000"/>
            </w:tcBorders>
            <w:tcMar>
              <w:start w:w="30" w:type="dxa"/>
              <w:end w:w="30" w:type="dxa"/>
            </w:tcMar>
          </w:tcPr>
          <w:p>
            <w:pPr>
              <w:pStyle w:val="Normal"/>
              <w:ind w:end="366"/>
              <w:jc w:val="end"/>
              <w:rPr>
                <w:b/>
                <w:color w:val="000000"/>
                <w:sz w:val="16"/>
              </w:rPr>
            </w:pPr>
            <w:r>
              <w:rPr>
                <w:b/>
                <w:color w:val="000000"/>
                <w:sz w:val="16"/>
              </w:rPr>
              <w:t>2000PF</w:t>
            </w:r>
          </w:p>
        </w:tc>
        <w:tc>
          <w:tcPr>
            <w:tcW w:w="1260" w:type="dxa"/>
            <w:tcBorders>
              <w:top w:val="single" w:sz="4" w:space="0" w:color="000000"/>
              <w:bottom w:val="single" w:sz="4" w:space="0" w:color="000000"/>
            </w:tcBorders>
            <w:tcMar>
              <w:start w:w="30" w:type="dxa"/>
              <w:end w:w="30" w:type="dxa"/>
            </w:tcMar>
          </w:tcPr>
          <w:p>
            <w:pPr>
              <w:pStyle w:val="Normal"/>
              <w:ind w:end="366"/>
              <w:jc w:val="end"/>
              <w:rPr>
                <w:b/>
                <w:color w:val="000000"/>
                <w:sz w:val="16"/>
              </w:rPr>
            </w:pPr>
            <w:r>
              <w:rPr>
                <w:b/>
                <w:color w:val="000000"/>
                <w:sz w:val="16"/>
              </w:rPr>
              <w:t>2001E</w:t>
            </w:r>
          </w:p>
        </w:tc>
        <w:tc>
          <w:tcPr>
            <w:tcW w:w="1260" w:type="dxa"/>
            <w:tcBorders>
              <w:top w:val="single" w:sz="4" w:space="0" w:color="000000"/>
              <w:bottom w:val="single" w:sz="4" w:space="0" w:color="000000"/>
            </w:tcBorders>
            <w:tcMar>
              <w:start w:w="30" w:type="dxa"/>
              <w:end w:w="30" w:type="dxa"/>
            </w:tcMar>
          </w:tcPr>
          <w:p>
            <w:pPr>
              <w:pStyle w:val="Normal"/>
              <w:ind w:end="402"/>
              <w:jc w:val="end"/>
              <w:rPr>
                <w:b/>
                <w:color w:val="000000"/>
                <w:sz w:val="16"/>
              </w:rPr>
            </w:pPr>
            <w:r>
              <w:rPr>
                <w:b/>
                <w:color w:val="000000"/>
                <w:sz w:val="16"/>
              </w:rPr>
              <w:t>2002E</w:t>
            </w:r>
          </w:p>
        </w:tc>
        <w:tc>
          <w:tcPr>
            <w:tcW w:w="1260" w:type="dxa"/>
            <w:tcBorders>
              <w:top w:val="single" w:sz="4" w:space="0" w:color="000000"/>
              <w:bottom w:val="single" w:sz="4" w:space="0" w:color="000000"/>
            </w:tcBorders>
            <w:tcMar>
              <w:start w:w="30" w:type="dxa"/>
              <w:end w:w="30" w:type="dxa"/>
            </w:tcMar>
          </w:tcPr>
          <w:p>
            <w:pPr>
              <w:pStyle w:val="Normal"/>
              <w:ind w:end="348"/>
              <w:jc w:val="end"/>
              <w:rPr>
                <w:b/>
                <w:color w:val="000000"/>
                <w:sz w:val="16"/>
              </w:rPr>
            </w:pPr>
            <w:r>
              <w:rPr>
                <w:b/>
                <w:color w:val="000000"/>
                <w:sz w:val="16"/>
              </w:rPr>
              <w:t>2003E</w:t>
            </w:r>
          </w:p>
        </w:tc>
        <w:tc>
          <w:tcPr>
            <w:tcW w:w="1260" w:type="dxa"/>
            <w:tcBorders>
              <w:top w:val="single" w:sz="4" w:space="0" w:color="000000"/>
              <w:bottom w:val="single" w:sz="4" w:space="0" w:color="000000"/>
            </w:tcBorders>
            <w:tcMar>
              <w:start w:w="30" w:type="dxa"/>
              <w:end w:w="30" w:type="dxa"/>
            </w:tcMar>
          </w:tcPr>
          <w:p>
            <w:pPr>
              <w:pStyle w:val="Normal"/>
              <w:ind w:end="384"/>
              <w:jc w:val="end"/>
              <w:rPr>
                <w:b/>
                <w:color w:val="000000"/>
                <w:sz w:val="16"/>
              </w:rPr>
            </w:pPr>
            <w:r>
              <w:rPr>
                <w:b/>
                <w:color w:val="000000"/>
                <w:sz w:val="16"/>
              </w:rPr>
              <w:t>2004E</w:t>
            </w:r>
          </w:p>
        </w:tc>
        <w:tc>
          <w:tcPr>
            <w:tcW w:w="1260" w:type="dxa"/>
            <w:tcBorders>
              <w:top w:val="single" w:sz="4" w:space="0" w:color="000000"/>
              <w:bottom w:val="single" w:sz="4" w:space="0" w:color="000000"/>
              <w:end w:val="single" w:sz="4" w:space="0" w:color="000000"/>
            </w:tcBorders>
            <w:tcMar>
              <w:start w:w="30" w:type="dxa"/>
              <w:end w:w="30" w:type="dxa"/>
            </w:tcMar>
          </w:tcPr>
          <w:p>
            <w:pPr>
              <w:pStyle w:val="Normal"/>
              <w:ind w:end="330"/>
              <w:jc w:val="end"/>
              <w:rPr>
                <w:b/>
                <w:color w:val="000000"/>
                <w:sz w:val="16"/>
              </w:rPr>
            </w:pPr>
            <w:r>
              <w:rPr>
                <w:b/>
                <w:color w:val="000000"/>
                <w:sz w:val="16"/>
              </w:rPr>
              <w:t>2005E</w:t>
            </w:r>
          </w:p>
        </w:tc>
      </w:tr>
      <w:tr>
        <w:trPr/>
        <w:tc>
          <w:tcPr>
            <w:tcW w:w="1980" w:type="dxa"/>
            <w:gridSpan w:val="2"/>
            <w:tcBorders>
              <w:start w:val="single" w:sz="4" w:space="0" w:color="000000"/>
            </w:tcBorders>
            <w:tcMar>
              <w:start w:w="30" w:type="dxa"/>
              <w:end w:w="30" w:type="dxa"/>
            </w:tcMar>
          </w:tcPr>
          <w:p>
            <w:pPr>
              <w:pStyle w:val="Normal"/>
              <w:rPr>
                <w:color w:val="000000"/>
                <w:sz w:val="16"/>
              </w:rPr>
            </w:pPr>
            <w:r>
              <w:rPr>
                <w:b/>
                <w:color w:val="000000"/>
                <w:sz w:val="16"/>
              </w:rPr>
              <w:t>Income Statement</w:t>
            </w:r>
          </w:p>
        </w:tc>
        <w:tc>
          <w:tcPr>
            <w:tcW w:w="1080" w:type="dxa"/>
            <w:tcBorders/>
            <w:tcMar>
              <w:start w:w="30" w:type="dxa"/>
              <w:end w:w="30" w:type="dxa"/>
            </w:tcMar>
          </w:tcPr>
          <w:p>
            <w:pPr>
              <w:pStyle w:val="Normal"/>
              <w:snapToGrid w:val="false"/>
              <w:ind w:end="366"/>
              <w:jc w:val="center"/>
              <w:rPr>
                <w:color w:val="000000"/>
                <w:sz w:val="16"/>
              </w:rPr>
            </w:pPr>
            <w:r>
              <w:rPr>
                <w:color w:val="000000"/>
                <w:sz w:val="16"/>
              </w:rPr>
            </w:r>
          </w:p>
        </w:tc>
        <w:tc>
          <w:tcPr>
            <w:tcW w:w="1260" w:type="dxa"/>
            <w:tcBorders/>
            <w:tcMar>
              <w:start w:w="30" w:type="dxa"/>
              <w:end w:w="30" w:type="dxa"/>
            </w:tcMar>
          </w:tcPr>
          <w:p>
            <w:pPr>
              <w:pStyle w:val="Normal"/>
              <w:snapToGrid w:val="false"/>
              <w:ind w:end="366"/>
              <w:jc w:val="center"/>
              <w:rPr>
                <w:color w:val="000000"/>
                <w:sz w:val="16"/>
              </w:rPr>
            </w:pPr>
            <w:r>
              <w:rPr>
                <w:color w:val="000000"/>
                <w:sz w:val="16"/>
              </w:rPr>
            </w:r>
          </w:p>
        </w:tc>
        <w:tc>
          <w:tcPr>
            <w:tcW w:w="1260" w:type="dxa"/>
            <w:tcBorders/>
            <w:tcMar>
              <w:start w:w="30" w:type="dxa"/>
              <w:end w:w="30" w:type="dxa"/>
            </w:tcMar>
          </w:tcPr>
          <w:p>
            <w:pPr>
              <w:pStyle w:val="Normal"/>
              <w:snapToGrid w:val="false"/>
              <w:ind w:end="402"/>
              <w:jc w:val="center"/>
              <w:rPr>
                <w:color w:val="000000"/>
                <w:sz w:val="16"/>
              </w:rPr>
            </w:pPr>
            <w:r>
              <w:rPr>
                <w:color w:val="000000"/>
                <w:sz w:val="16"/>
              </w:rPr>
            </w:r>
          </w:p>
        </w:tc>
        <w:tc>
          <w:tcPr>
            <w:tcW w:w="1260" w:type="dxa"/>
            <w:tcBorders/>
            <w:tcMar>
              <w:start w:w="30" w:type="dxa"/>
              <w:end w:w="30" w:type="dxa"/>
            </w:tcMar>
          </w:tcPr>
          <w:p>
            <w:pPr>
              <w:pStyle w:val="Normal"/>
              <w:snapToGrid w:val="false"/>
              <w:ind w:end="348"/>
              <w:jc w:val="center"/>
              <w:rPr>
                <w:color w:val="000000"/>
                <w:sz w:val="16"/>
              </w:rPr>
            </w:pPr>
            <w:r>
              <w:rPr>
                <w:color w:val="000000"/>
                <w:sz w:val="16"/>
              </w:rPr>
            </w:r>
          </w:p>
        </w:tc>
        <w:tc>
          <w:tcPr>
            <w:tcW w:w="1260" w:type="dxa"/>
            <w:tcBorders/>
            <w:tcMar>
              <w:start w:w="30" w:type="dxa"/>
              <w:end w:w="30" w:type="dxa"/>
            </w:tcMar>
          </w:tcPr>
          <w:p>
            <w:pPr>
              <w:pStyle w:val="Normal"/>
              <w:snapToGrid w:val="false"/>
              <w:ind w:end="384"/>
              <w:jc w:val="center"/>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center"/>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Revenue</w:t>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Gross Profit</w:t>
            </w:r>
          </w:p>
        </w:tc>
        <w:tc>
          <w:tcPr>
            <w:tcW w:w="0" w:type="dxa"/>
            <w:vMerge w:val="continue"/>
            <w:tcBorders/>
            <w:tcMar>
              <w:start w:w="30" w:type="dxa"/>
              <w:end w:w="30" w:type="dxa"/>
            </w:tcMar>
          </w:tcPr>
          <w:p>
            <w:pPr>
              <w:pStyle w:val="Normal"/>
              <w:snapToGrid w:val="false"/>
              <w:ind w:start="330" w:end="0"/>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EBITDA</w:t>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EBIT</w:t>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40" w:hRule="exact"/>
        </w:trPr>
        <w:tc>
          <w:tcPr>
            <w:tcW w:w="1620" w:type="dxa"/>
            <w:tcBorders>
              <w:start w:val="single" w:sz="4" w:space="0" w:color="000000"/>
            </w:tcBorders>
            <w:tcMar>
              <w:start w:w="30" w:type="dxa"/>
              <w:end w:w="30" w:type="dxa"/>
            </w:tcMar>
          </w:tcPr>
          <w:p>
            <w:pPr>
              <w:pStyle w:val="Normal"/>
              <w:snapToGrid w:val="false"/>
              <w:ind w:start="330" w:end="0"/>
              <w:rPr>
                <w:color w:val="000000"/>
                <w:sz w:val="16"/>
              </w:rPr>
            </w:pPr>
            <w:r>
              <w:rPr>
                <w:color w:val="000000"/>
                <w:sz w:val="16"/>
              </w:rPr>
            </w:r>
          </w:p>
        </w:tc>
        <w:tc>
          <w:tcPr>
            <w:tcW w:w="360" w:type="dxa"/>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center"/>
              <w:rPr>
                <w:color w:val="000000"/>
                <w:sz w:val="16"/>
              </w:rPr>
            </w:pPr>
            <w:r>
              <w:rPr>
                <w:color w:val="000000"/>
                <w:sz w:val="16"/>
              </w:rPr>
            </w:r>
          </w:p>
        </w:tc>
        <w:tc>
          <w:tcPr>
            <w:tcW w:w="1260" w:type="dxa"/>
            <w:tcBorders/>
            <w:tcMar>
              <w:start w:w="30" w:type="dxa"/>
              <w:end w:w="30" w:type="dxa"/>
            </w:tcMar>
          </w:tcPr>
          <w:p>
            <w:pPr>
              <w:pStyle w:val="Normal"/>
              <w:snapToGrid w:val="false"/>
              <w:ind w:end="402"/>
              <w:jc w:val="center"/>
              <w:rPr>
                <w:color w:val="000000"/>
                <w:sz w:val="16"/>
              </w:rPr>
            </w:pPr>
            <w:r>
              <w:rPr>
                <w:color w:val="000000"/>
                <w:sz w:val="16"/>
              </w:rPr>
            </w:r>
          </w:p>
        </w:tc>
        <w:tc>
          <w:tcPr>
            <w:tcW w:w="1260" w:type="dxa"/>
            <w:tcBorders/>
            <w:tcMar>
              <w:start w:w="30" w:type="dxa"/>
              <w:end w:w="30" w:type="dxa"/>
            </w:tcMar>
          </w:tcPr>
          <w:p>
            <w:pPr>
              <w:pStyle w:val="Normal"/>
              <w:snapToGrid w:val="false"/>
              <w:ind w:end="348"/>
              <w:jc w:val="center"/>
              <w:rPr>
                <w:color w:val="000000"/>
                <w:sz w:val="16"/>
              </w:rPr>
            </w:pPr>
            <w:r>
              <w:rPr>
                <w:color w:val="000000"/>
                <w:sz w:val="16"/>
              </w:rPr>
            </w:r>
          </w:p>
        </w:tc>
        <w:tc>
          <w:tcPr>
            <w:tcW w:w="1260" w:type="dxa"/>
            <w:tcBorders/>
            <w:tcMar>
              <w:start w:w="30" w:type="dxa"/>
              <w:end w:w="30" w:type="dxa"/>
            </w:tcMar>
          </w:tcPr>
          <w:p>
            <w:pPr>
              <w:pStyle w:val="Normal"/>
              <w:snapToGrid w:val="false"/>
              <w:ind w:end="384"/>
              <w:jc w:val="center"/>
              <w:rPr>
                <w:color w:val="000000"/>
                <w:sz w:val="16"/>
              </w:rPr>
            </w:pPr>
            <w:r>
              <w:rPr>
                <w:color w:val="000000"/>
                <w:sz w:val="16"/>
              </w:rPr>
            </w:r>
          </w:p>
        </w:tc>
        <w:tc>
          <w:tcPr>
            <w:tcW w:w="1260" w:type="dxa"/>
            <w:tcBorders/>
            <w:tcMar>
              <w:start w:w="30" w:type="dxa"/>
              <w:end w:w="30" w:type="dxa"/>
            </w:tcMar>
          </w:tcPr>
          <w:p>
            <w:pPr>
              <w:pStyle w:val="Normal"/>
              <w:snapToGrid w:val="false"/>
              <w:ind w:end="330"/>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highlight w:val="yellow"/>
              </w:rPr>
            </w:pPr>
            <w:r>
              <w:rPr>
                <w:color w:val="000000"/>
                <w:sz w:val="16"/>
              </w:rPr>
              <w:t>Gross Profit Growth %</w:t>
            </w:r>
          </w:p>
        </w:tc>
        <w:tc>
          <w:tcPr>
            <w:tcW w:w="0" w:type="dxa"/>
            <w:vMerge w:val="continue"/>
            <w:tcBorders/>
            <w:tcMar>
              <w:start w:w="30" w:type="dxa"/>
              <w:end w:w="30" w:type="dxa"/>
            </w:tcMar>
          </w:tcPr>
          <w:p>
            <w:pPr>
              <w:pStyle w:val="Normal"/>
              <w:snapToGrid w:val="false"/>
              <w:jc w:val="end"/>
              <w:rPr>
                <w:color w:val="000000"/>
                <w:sz w:val="16"/>
                <w:highlight w:val="yellow"/>
              </w:rPr>
            </w:pPr>
            <w:r>
              <w:rPr>
                <w:color w:val="000000"/>
                <w:sz w:val="16"/>
                <w:highlight w:val="yellow"/>
              </w:rPr>
            </w:r>
          </w:p>
        </w:tc>
        <w:tc>
          <w:tcPr>
            <w:tcW w:w="1080" w:type="dxa"/>
            <w:tcBorders/>
            <w:tcMar>
              <w:start w:w="30" w:type="dxa"/>
              <w:end w:w="30" w:type="dxa"/>
            </w:tcMar>
          </w:tcPr>
          <w:p>
            <w:pPr>
              <w:pStyle w:val="Normal"/>
              <w:snapToGrid w:val="false"/>
              <w:ind w:end="366"/>
              <w:jc w:val="end"/>
              <w:rPr>
                <w:color w:val="000000"/>
                <w:sz w:val="16"/>
                <w:highlight w:val="yellow"/>
              </w:rPr>
            </w:pPr>
            <w:r>
              <w:rPr>
                <w:color w:val="000000"/>
                <w:sz w:val="16"/>
                <w:highlight w:val="yellow"/>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tcMar>
              <w:start w:w="30" w:type="dxa"/>
              <w:end w:w="30" w:type="dxa"/>
            </w:tcMar>
          </w:tcPr>
          <w:p>
            <w:pPr>
              <w:pStyle w:val="Normal"/>
              <w:snapToGrid w:val="false"/>
              <w:ind w:end="330"/>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 xml:space="preserve">Gross Margin % </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EBITDA Margins %</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EBIT Margins %</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40" w:hRule="exact"/>
        </w:trPr>
        <w:tc>
          <w:tcPr>
            <w:tcW w:w="1980" w:type="dxa"/>
            <w:gridSpan w:val="2"/>
            <w:tcBorders>
              <w:start w:val="single" w:sz="4" w:space="0" w:color="000000"/>
            </w:tcBorders>
            <w:tcMar>
              <w:start w:w="30" w:type="dxa"/>
              <w:end w:w="30" w:type="dxa"/>
            </w:tcMar>
          </w:tcPr>
          <w:p>
            <w:pPr>
              <w:pStyle w:val="Normal"/>
              <w:snapToGrid w:val="false"/>
              <w:ind w:start="420" w:end="0"/>
              <w:rPr>
                <w:color w:val="000000"/>
                <w:sz w:val="16"/>
              </w:rPr>
            </w:pPr>
            <w:r>
              <w:rPr>
                <w:color w:val="000000"/>
                <w:sz w:val="16"/>
              </w:rPr>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center"/>
              <w:rPr>
                <w:color w:val="000000"/>
                <w:sz w:val="16"/>
              </w:rPr>
            </w:pPr>
            <w:r>
              <w:rPr>
                <w:color w:val="000000"/>
                <w:sz w:val="16"/>
              </w:rPr>
            </w:r>
          </w:p>
        </w:tc>
        <w:tc>
          <w:tcPr>
            <w:tcW w:w="1260" w:type="dxa"/>
            <w:tcBorders/>
            <w:tcMar>
              <w:start w:w="30" w:type="dxa"/>
              <w:end w:w="30" w:type="dxa"/>
            </w:tcMar>
          </w:tcPr>
          <w:p>
            <w:pPr>
              <w:pStyle w:val="Normal"/>
              <w:snapToGrid w:val="false"/>
              <w:ind w:end="402"/>
              <w:jc w:val="center"/>
              <w:rPr>
                <w:color w:val="000000"/>
                <w:sz w:val="16"/>
              </w:rPr>
            </w:pPr>
            <w:r>
              <w:rPr>
                <w:color w:val="000000"/>
                <w:sz w:val="16"/>
              </w:rPr>
            </w:r>
          </w:p>
        </w:tc>
        <w:tc>
          <w:tcPr>
            <w:tcW w:w="1260" w:type="dxa"/>
            <w:tcBorders/>
            <w:tcMar>
              <w:start w:w="30" w:type="dxa"/>
              <w:end w:w="30" w:type="dxa"/>
            </w:tcMar>
          </w:tcPr>
          <w:p>
            <w:pPr>
              <w:pStyle w:val="Normal"/>
              <w:snapToGrid w:val="false"/>
              <w:ind w:end="348"/>
              <w:jc w:val="center"/>
              <w:rPr>
                <w:color w:val="000000"/>
                <w:sz w:val="16"/>
              </w:rPr>
            </w:pPr>
            <w:r>
              <w:rPr>
                <w:color w:val="000000"/>
                <w:sz w:val="16"/>
              </w:rPr>
            </w:r>
          </w:p>
        </w:tc>
        <w:tc>
          <w:tcPr>
            <w:tcW w:w="1260" w:type="dxa"/>
            <w:tcBorders/>
            <w:tcMar>
              <w:start w:w="30" w:type="dxa"/>
              <w:end w:w="30" w:type="dxa"/>
            </w:tcMar>
          </w:tcPr>
          <w:p>
            <w:pPr>
              <w:pStyle w:val="Normal"/>
              <w:snapToGrid w:val="false"/>
              <w:ind w:end="384"/>
              <w:jc w:val="center"/>
              <w:rPr>
                <w:color w:val="000000"/>
                <w:sz w:val="16"/>
              </w:rPr>
            </w:pPr>
            <w:r>
              <w:rPr>
                <w:color w:val="000000"/>
                <w:sz w:val="16"/>
              </w:rPr>
            </w:r>
          </w:p>
        </w:tc>
        <w:tc>
          <w:tcPr>
            <w:tcW w:w="1260" w:type="dxa"/>
            <w:tcBorders/>
            <w:tcMar>
              <w:start w:w="30" w:type="dxa"/>
              <w:end w:w="30" w:type="dxa"/>
            </w:tcMar>
          </w:tcPr>
          <w:p>
            <w:pPr>
              <w:pStyle w:val="Normal"/>
              <w:snapToGrid w:val="false"/>
              <w:ind w:end="330"/>
              <w:jc w:val="center"/>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center"/>
              <w:rPr>
                <w:color w:val="000000"/>
                <w:sz w:val="16"/>
              </w:rPr>
            </w:pPr>
            <w:r>
              <w:rPr>
                <w:color w:val="000000"/>
                <w:sz w:val="16"/>
              </w:rPr>
            </w:r>
          </w:p>
        </w:tc>
      </w:tr>
      <w:tr>
        <w:trPr/>
        <w:tc>
          <w:tcPr>
            <w:tcW w:w="1980" w:type="dxa"/>
            <w:gridSpan w:val="2"/>
            <w:tcBorders>
              <w:start w:val="single" w:sz="4" w:space="0" w:color="000000"/>
            </w:tcBorders>
            <w:tcMar>
              <w:start w:w="30" w:type="dxa"/>
              <w:end w:w="30" w:type="dxa"/>
            </w:tcMar>
          </w:tcPr>
          <w:p>
            <w:pPr>
              <w:pStyle w:val="Normal"/>
              <w:rPr>
                <w:b/>
                <w:color w:val="000000"/>
                <w:sz w:val="16"/>
              </w:rPr>
            </w:pPr>
            <w:r>
              <w:rPr>
                <w:b/>
                <w:color w:val="000000"/>
                <w:sz w:val="16"/>
              </w:rPr>
              <w:t>Balance Sheet</w:t>
            </w:r>
          </w:p>
        </w:tc>
        <w:tc>
          <w:tcPr>
            <w:tcW w:w="0" w:type="dxa"/>
            <w:vMerge w:val="continue"/>
            <w:tcBorders/>
            <w:tcMar>
              <w:start w:w="30" w:type="dxa"/>
              <w:end w:w="30" w:type="dxa"/>
            </w:tcMar>
          </w:tcPr>
          <w:p>
            <w:pPr>
              <w:pStyle w:val="Normal"/>
              <w:snapToGrid w:val="false"/>
              <w:jc w:val="end"/>
              <w:rPr>
                <w:b/>
                <w:color w:val="000000"/>
                <w:sz w:val="16"/>
              </w:rPr>
            </w:pPr>
            <w:r>
              <w:rPr>
                <w:b/>
                <w:color w:val="000000"/>
                <w:sz w:val="16"/>
              </w:rPr>
            </w:r>
          </w:p>
        </w:tc>
        <w:tc>
          <w:tcPr>
            <w:tcW w:w="1080" w:type="dxa"/>
            <w:tcBorders/>
            <w:tcMar>
              <w:start w:w="30" w:type="dxa"/>
              <w:end w:w="30" w:type="dxa"/>
            </w:tcMar>
          </w:tcPr>
          <w:p>
            <w:pPr>
              <w:pStyle w:val="Normal"/>
              <w:snapToGrid w:val="false"/>
              <w:ind w:end="366"/>
              <w:jc w:val="center"/>
              <w:rPr>
                <w:color w:val="000000"/>
                <w:sz w:val="16"/>
              </w:rPr>
            </w:pPr>
            <w:r>
              <w:rPr>
                <w:color w:val="000000"/>
                <w:sz w:val="16"/>
              </w:rPr>
            </w:r>
          </w:p>
        </w:tc>
        <w:tc>
          <w:tcPr>
            <w:tcW w:w="1260" w:type="dxa"/>
            <w:tcBorders/>
            <w:tcMar>
              <w:start w:w="30" w:type="dxa"/>
              <w:end w:w="30" w:type="dxa"/>
            </w:tcMar>
          </w:tcPr>
          <w:p>
            <w:pPr>
              <w:pStyle w:val="Normal"/>
              <w:snapToGrid w:val="false"/>
              <w:ind w:end="402"/>
              <w:jc w:val="center"/>
              <w:rPr>
                <w:color w:val="000000"/>
                <w:sz w:val="16"/>
              </w:rPr>
            </w:pPr>
            <w:r>
              <w:rPr>
                <w:color w:val="000000"/>
                <w:sz w:val="16"/>
              </w:rPr>
            </w:r>
          </w:p>
        </w:tc>
        <w:tc>
          <w:tcPr>
            <w:tcW w:w="1260" w:type="dxa"/>
            <w:tcBorders/>
            <w:tcMar>
              <w:start w:w="30" w:type="dxa"/>
              <w:end w:w="30" w:type="dxa"/>
            </w:tcMar>
          </w:tcPr>
          <w:p>
            <w:pPr>
              <w:pStyle w:val="Normal"/>
              <w:snapToGrid w:val="false"/>
              <w:ind w:end="348"/>
              <w:jc w:val="center"/>
              <w:rPr>
                <w:color w:val="000000"/>
                <w:sz w:val="16"/>
              </w:rPr>
            </w:pPr>
            <w:r>
              <w:rPr>
                <w:color w:val="000000"/>
                <w:sz w:val="16"/>
              </w:rPr>
            </w:r>
          </w:p>
        </w:tc>
        <w:tc>
          <w:tcPr>
            <w:tcW w:w="1260" w:type="dxa"/>
            <w:tcBorders/>
            <w:tcMar>
              <w:start w:w="30" w:type="dxa"/>
              <w:end w:w="30" w:type="dxa"/>
            </w:tcMar>
          </w:tcPr>
          <w:p>
            <w:pPr>
              <w:pStyle w:val="Normal"/>
              <w:snapToGrid w:val="false"/>
              <w:ind w:end="384"/>
              <w:jc w:val="center"/>
              <w:rPr>
                <w:color w:val="000000"/>
                <w:sz w:val="16"/>
              </w:rPr>
            </w:pPr>
            <w:r>
              <w:rPr>
                <w:color w:val="000000"/>
                <w:sz w:val="16"/>
              </w:rPr>
            </w:r>
          </w:p>
        </w:tc>
        <w:tc>
          <w:tcPr>
            <w:tcW w:w="1260" w:type="dxa"/>
            <w:tcBorders/>
            <w:tcMar>
              <w:start w:w="30" w:type="dxa"/>
              <w:end w:w="30" w:type="dxa"/>
            </w:tcMar>
          </w:tcPr>
          <w:p>
            <w:pPr>
              <w:pStyle w:val="Normal"/>
              <w:snapToGrid w:val="false"/>
              <w:ind w:end="330"/>
              <w:jc w:val="center"/>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center"/>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Capital Expenditures</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 xml:space="preserve">Depreciation </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Net Working Capital</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Total Assets</w:t>
            </w:r>
          </w:p>
        </w:tc>
        <w:tc>
          <w:tcPr>
            <w:tcW w:w="0" w:type="dxa"/>
            <w:vMerge w:val="continue"/>
            <w:tcBorders/>
            <w:tcMar>
              <w:start w:w="30" w:type="dxa"/>
              <w:end w:w="30" w:type="dxa"/>
            </w:tcMar>
          </w:tcPr>
          <w:p>
            <w:pPr>
              <w:pStyle w:val="Normal"/>
              <w:snapToGrid w:val="false"/>
              <w:jc w:val="end"/>
              <w:rPr>
                <w:color w:val="000000"/>
                <w:sz w:val="16"/>
              </w:rPr>
            </w:pPr>
            <w:r>
              <w:rPr>
                <w:color w:val="000000"/>
                <w:sz w:val="16"/>
              </w:rPr>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200" w:hRule="exact"/>
        </w:trPr>
        <w:tc>
          <w:tcPr>
            <w:tcW w:w="1980" w:type="dxa"/>
            <w:gridSpan w:val="2"/>
            <w:tcBorders>
              <w:start w:val="single" w:sz="4" w:space="0" w:color="000000"/>
            </w:tcBorders>
            <w:tcMar>
              <w:start w:w="30" w:type="dxa"/>
              <w:end w:w="30" w:type="dxa"/>
            </w:tcMar>
          </w:tcPr>
          <w:p>
            <w:pPr>
              <w:pStyle w:val="Normal"/>
              <w:ind w:start="330" w:end="0"/>
              <w:rPr>
                <w:color w:val="000000"/>
                <w:sz w:val="16"/>
              </w:rPr>
            </w:pPr>
            <w:r>
              <w:rPr>
                <w:color w:val="000000"/>
                <w:sz w:val="16"/>
              </w:rPr>
              <w:t>Total Debt</w:t>
            </w:r>
          </w:p>
        </w:tc>
        <w:tc>
          <w:tcPr>
            <w:tcW w:w="108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366"/>
              <w:jc w:val="end"/>
              <w:rPr>
                <w:color w:val="000000"/>
                <w:sz w:val="16"/>
              </w:rPr>
            </w:pPr>
            <w:r>
              <w:rPr>
                <w:color w:val="000000"/>
                <w:sz w:val="16"/>
              </w:rPr>
            </w:r>
          </w:p>
        </w:tc>
        <w:tc>
          <w:tcPr>
            <w:tcW w:w="1260" w:type="dxa"/>
            <w:tcBorders/>
            <w:tcMar>
              <w:start w:w="30" w:type="dxa"/>
              <w:end w:w="30" w:type="dxa"/>
            </w:tcMar>
          </w:tcPr>
          <w:p>
            <w:pPr>
              <w:pStyle w:val="Normal"/>
              <w:snapToGrid w:val="false"/>
              <w:ind w:end="402"/>
              <w:jc w:val="end"/>
              <w:rPr>
                <w:color w:val="000000"/>
                <w:sz w:val="16"/>
              </w:rPr>
            </w:pPr>
            <w:r>
              <w:rPr>
                <w:color w:val="000000"/>
                <w:sz w:val="16"/>
              </w:rPr>
            </w:r>
          </w:p>
        </w:tc>
        <w:tc>
          <w:tcPr>
            <w:tcW w:w="1260" w:type="dxa"/>
            <w:tcBorders/>
            <w:tcMar>
              <w:start w:w="30" w:type="dxa"/>
              <w:end w:w="30" w:type="dxa"/>
            </w:tcMar>
          </w:tcPr>
          <w:p>
            <w:pPr>
              <w:pStyle w:val="Normal"/>
              <w:snapToGrid w:val="false"/>
              <w:ind w:end="348"/>
              <w:jc w:val="end"/>
              <w:rPr>
                <w:color w:val="000000"/>
                <w:sz w:val="16"/>
              </w:rPr>
            </w:pPr>
            <w:r>
              <w:rPr>
                <w:color w:val="000000"/>
                <w:sz w:val="16"/>
              </w:rPr>
            </w:r>
          </w:p>
        </w:tc>
        <w:tc>
          <w:tcPr>
            <w:tcW w:w="1260" w:type="dxa"/>
            <w:tcBorders/>
            <w:tcMar>
              <w:start w:w="30" w:type="dxa"/>
              <w:end w:w="30" w:type="dxa"/>
            </w:tcMar>
          </w:tcPr>
          <w:p>
            <w:pPr>
              <w:pStyle w:val="Normal"/>
              <w:snapToGrid w:val="false"/>
              <w:ind w:end="384"/>
              <w:jc w:val="end"/>
              <w:rPr>
                <w:color w:val="000000"/>
                <w:sz w:val="16"/>
              </w:rPr>
            </w:pPr>
            <w:r>
              <w:rPr>
                <w:color w:val="000000"/>
                <w:sz w:val="16"/>
              </w:rPr>
            </w:r>
          </w:p>
        </w:tc>
        <w:tc>
          <w:tcPr>
            <w:tcW w:w="1260" w:type="dxa"/>
            <w:tcBorders>
              <w:end w:val="single" w:sz="4" w:space="0" w:color="000000"/>
            </w:tcBorders>
            <w:tcMar>
              <w:start w:w="30" w:type="dxa"/>
              <w:end w:w="30" w:type="dxa"/>
            </w:tcMar>
          </w:tcPr>
          <w:p>
            <w:pPr>
              <w:pStyle w:val="Normal"/>
              <w:snapToGrid w:val="false"/>
              <w:ind w:end="330"/>
              <w:jc w:val="end"/>
              <w:rPr>
                <w:color w:val="000000"/>
                <w:sz w:val="16"/>
              </w:rPr>
            </w:pPr>
            <w:r>
              <w:rPr>
                <w:color w:val="000000"/>
                <w:sz w:val="16"/>
              </w:rPr>
            </w:r>
          </w:p>
        </w:tc>
      </w:tr>
      <w:tr>
        <w:trPr>
          <w:trHeight w:val="80" w:hRule="exact"/>
        </w:trPr>
        <w:tc>
          <w:tcPr>
            <w:tcW w:w="9360" w:type="dxa"/>
            <w:gridSpan w:val="8"/>
            <w:tcBorders>
              <w:start w:val="single" w:sz="4" w:space="0" w:color="000000"/>
              <w:bottom w:val="single" w:sz="4" w:space="0" w:color="000000"/>
              <w:end w:val="single" w:sz="4" w:space="0" w:color="000000"/>
            </w:tcBorders>
            <w:tcMar>
              <w:start w:w="30" w:type="dxa"/>
              <w:end w:w="30" w:type="dxa"/>
            </w:tcMar>
            <w:vAlign w:val="bottom"/>
          </w:tcPr>
          <w:p>
            <w:pPr>
              <w:pStyle w:val="Normal"/>
              <w:snapToGrid w:val="false"/>
              <w:spacing w:before="180" w:after="0"/>
              <w:ind w:end="245"/>
              <w:rPr>
                <w:color w:val="000000"/>
                <w:sz w:val="14"/>
              </w:rPr>
            </w:pPr>
            <w:r>
              <w:rPr>
                <w:color w:val="000000"/>
                <w:sz w:val="14"/>
              </w:rPr>
            </w:r>
          </w:p>
        </w:tc>
      </w:tr>
    </w:tbl>
    <w:p>
      <w:pPr>
        <w:pStyle w:val="03BodyText"/>
        <w:spacing w:before="120" w:after="60"/>
        <w:ind w:hanging="0" w:start="0" w:end="0"/>
        <w:rPr>
          <w:rFonts w:ascii="Times New Roman" w:hAnsi="Times New Roman" w:cs="Times New Roman"/>
          <w:sz w:val="22"/>
        </w:rPr>
      </w:pPr>
      <w:r>
        <w:rPr>
          <w:rFonts w:cs="Times New Roman" w:ascii="Times New Roman" w:hAnsi="Times New Roman"/>
          <w:b/>
          <w:smallCaps/>
          <w:sz w:val="24"/>
        </w:rPr>
        <w:t>Attractive Investment Opportunity</w:t>
      </w:r>
      <w:r>
        <w:rPr>
          <w:rFonts w:cs="Times New Roman" w:ascii="Times New Roman" w:hAnsi="Times New Roman"/>
          <w:b/>
          <w:i/>
          <w:sz w:val="22"/>
        </w:rPr>
        <w:t xml:space="preserve"> </w:t>
      </w:r>
    </w:p>
    <w:p>
      <w:pPr>
        <w:sectPr>
          <w:headerReference w:type="default" r:id="rId24"/>
          <w:headerReference w:type="first" r:id="rId25"/>
          <w:footerReference w:type="default" r:id="rId26"/>
          <w:footerReference w:type="first" r:id="rId27"/>
          <w:type w:val="nextPage"/>
          <w:pgSz w:w="12240" w:h="15840"/>
          <w:pgMar w:left="1440" w:right="1440" w:gutter="0" w:header="432" w:top="1350" w:footer="720" w:bottom="900"/>
          <w:pgNumType w:fmt="decimal"/>
          <w:formProt w:val="false"/>
          <w:textDirection w:val="lrTb"/>
          <w:docGrid w:type="default" w:linePitch="360" w:charSpace="0"/>
        </w:sectPr>
        <w:pStyle w:val="JustifiedBody"/>
        <w:rPr/>
      </w:pPr>
      <w:r>
        <w:rPr/>
        <w:t>Enron believes that its evolution from a physical asset return entity to a high growth New Economy enterprise has been recognized by the public securities’ markets through an increase in its price/earnings ratio.  Net Works is a strategic priority for Enron and, in addition to devoting management talent to the development and growth of Net Works, the Company intends to contribute EnronOnline’s technology and capabilities, as well as its existing pulp and paper business.  Enron will also provide credit enhancement protection by guaranteeing every trade.  Net Works will also benefit from its connection and relationship with Enron.  Net Works represents an opportunity for its investors to participate in the development of a unique B2B strategy that benefits from Enron’s expertise.  Enron is making this investment opportunity available to external investors since the Company is hesitant to add Old Economy assets to its consolidated financial statements prior to transforming such assets to a New Economy model.  Consequently external investors are being given the opportunity to benefit from Enron’s capabilities and participate with the Company in pursuing this opportunity that Enron believes has outstanding return potential.  Investors will have the option to achieve liquidity through a structured exit mechanism that allows investors to sell their stake back to Enron at a market-based valuation.</w:t>
      </w:r>
    </w:p>
    <w:p>
      <w:pPr>
        <w:pStyle w:val="Normal"/>
        <w:spacing w:before="0" w:after="60"/>
        <w:ind w:end="-173"/>
        <w:jc w:val="both"/>
        <w:rPr>
          <w:i/>
          <w:i/>
          <w:sz w:val="22"/>
        </w:rPr>
      </w:pPr>
      <w:r>
        <w:rPr>
          <w:i/>
          <w:sz w:val="22"/>
        </w:rPr>
        <w:t>In addition to the Investment Highlights set forth below, Investors should also read and carefully evaluate the Risk Factors and Considerations associated with an investment in the Interests set forth in Appendix C of this Memorandum.</w:t>
      </w:r>
    </w:p>
    <w:p>
      <w:pPr>
        <w:pStyle w:val="Heading4"/>
        <w:spacing w:lineRule="auto" w:line="240" w:before="0" w:after="120"/>
        <w:ind w:hanging="0" w:start="0"/>
        <w:rPr>
          <w:i/>
          <w:i/>
        </w:rPr>
      </w:pPr>
      <w:bookmarkStart w:id="1" w:name="_Ref489097464"/>
      <w:r>
        <w:rPr>
          <w:i/>
        </w:rPr>
        <w:t>Opportunity for Superior Returns</w:t>
      </w:r>
      <w:bookmarkEnd w:id="1"/>
    </w:p>
    <w:p>
      <w:pPr>
        <w:pStyle w:val="JustifiedBody"/>
        <w:rPr/>
      </w:pPr>
      <w:r>
        <w:rPr/>
        <w:t>Net Works has the potential to generate superior returns by becoming the leading market-maker while transforming buyer and seller behaviors in the Targeted Industries.  Enron has successfully migrated from a regulated energy company, whose revenues were driven by obtaining a return on physical assets, to a company that relies on intermediation and market-making activities for growth.  By creating market liquidity and pricing efficiency, Net Works expects to market high-margin customized contracts.  Net Works will also have the opportunity to generate additional income through increased volume in market-making activities.  As an intermediary, the primary goal is to establish convenient and liquid markets that allow buyers and sellers to transact in ways not previously possible.  The Internet allows more convenient access to market participants and increases transaction efficiency.  With over a decade of experience, Enron believes it has the insight, infrastructure and innovative culture to respond quickly to the compelling market opportunities made available by the eCommerce revolution.  Enron estimates that $1.0 billion of equity will be required for Net Works to pursue, develop and transform the Targeted Industries.  A comprehensive financial model, based on what Enron’s management believes to be a conservative set of assumptions, shows the potential for outstanding returns.</w:t>
      </w:r>
    </w:p>
    <w:p>
      <w:pPr>
        <w:pStyle w:val="Normal"/>
        <w:numPr>
          <w:ilvl w:val="0"/>
          <w:numId w:val="0"/>
        </w:numPr>
        <w:spacing w:before="60" w:after="60"/>
        <w:ind w:end="-173"/>
        <w:jc w:val="both"/>
        <w:outlineLvl w:val="0"/>
        <w:rPr>
          <w:b/>
          <w:i/>
          <w:i/>
          <w:sz w:val="22"/>
        </w:rPr>
      </w:pPr>
      <w:r>
        <w:rPr>
          <w:b/>
          <w:i/>
          <w:sz w:val="22"/>
        </w:rPr>
        <w:t xml:space="preserve">B2B eCommerce Provides Enormous Growth Opportunities </w:t>
      </w:r>
    </w:p>
    <w:p>
      <w:pPr>
        <w:pStyle w:val="JustifiedBody"/>
        <w:rPr/>
      </w:pPr>
      <w:r>
        <w:rPr/>
        <w:t>B2B eCommerce is experiencing explosive growth with on-line activity that Jupiter expects will account for 42% of all U.S. non-service B2B transactions by 2005.  Jupiter’s research estimates that B2B Internet commerce will represent three percent of the total U.S. B2B non-service market ($336 billion) in 2000.  However, the online volume is expected to grow at an average annual rate of 80.0% over the next five years, reaching $6.3 trillion in 2005.  This revolutionary growth is expected to open doors for new business models including e-marketplaces.  Jupiter concludes that Internet-based markets can completely disrupt current channels and alter how companies and industries conduct business.</w:t>
      </w:r>
    </w:p>
    <w:p>
      <w:pPr>
        <w:pStyle w:val="Heading4"/>
        <w:spacing w:lineRule="auto" w:line="240" w:before="120" w:after="60"/>
        <w:ind w:hanging="0" w:start="0"/>
        <w:jc w:val="both"/>
        <w:rPr>
          <w:i/>
          <w:i/>
          <w:sz w:val="22"/>
        </w:rPr>
      </w:pPr>
      <w:r>
        <w:rPr>
          <w:i/>
          <w:sz w:val="22"/>
        </w:rPr>
        <w:t xml:space="preserve">Enron has a Reputation and Track Record for Transforming Industries </w:t>
      </w:r>
    </w:p>
    <w:p>
      <w:pPr>
        <w:pStyle w:val="JustifiedBody"/>
        <w:rPr/>
      </w:pPr>
      <w:r>
        <w:rPr/>
        <w:t>Enron has migrated from an asset driven company to a knowledge-based company.  Its entrepreneurial culture was quick to adapt to the New Economy.  Enron believes it has been a leader in transforming eight industries with commodity-like products into B2B marketplaces where pricing and product efficiencies were greatly improved.  Enron is currently in the process of changing buyer and seller behavior in five additional markets.  The eCommerce revolution makes it easier for buyers and sellers to interact in an electronic marketplace, particularly where a market-maker exists to assure liquidity in an electronic market.  Enron’s ten years of experience as an intermediary allow Net Works to take advantage of new opportunities facilitated by the Internet’s evolution.</w:t>
      </w:r>
    </w:p>
    <w:p>
      <w:pPr>
        <w:pStyle w:val="JustifiedBody"/>
        <w:rPr/>
      </w:pPr>
      <w:r>
        <w:rPr/>
        <w:t>Net Works relies on the capabilities that have made the Company successful in other industries.  In transforming industries with commodity-like product into B2B marketplaces, Enron: (1) defines physical product standards to create base commodities; (2) creates liquidity by serving as a market-maker for its own account; (3) uses its liquidity to provide the markets with innovative financial products; (4) provides settlement activity and back-office support to facilitate an orderly exchange; (5) develops networks for physical distribution to allow efficient delivery of product; (6) dedicates independent staff of risk management professionals (who report to Enron’s Board of Directors) to manage the Company’s risk through utilization of “value at risk” and other sophisticated portfolio management techniques; (7) benefits from its investment of more than $600 million in information technology to enable both its market-making activity and risk management functions; and (8) develops and manages origination professionals who are financially skilled and able to sell high margin, customized contracts, many of which are  long-term in nature.  This business model has allowed Enron to obtain leading market share positions in several markets and enhances customer retention and profitability.</w:t>
      </w:r>
    </w:p>
    <w:p>
      <w:pPr>
        <w:sectPr>
          <w:headerReference w:type="default" r:id="rId28"/>
          <w:headerReference w:type="first" r:id="rId29"/>
          <w:footerReference w:type="default" r:id="rId30"/>
          <w:footerReference w:type="first" r:id="rId31"/>
          <w:type w:val="nextPage"/>
          <w:pgSz w:w="12240" w:h="15840"/>
          <w:pgMar w:left="1440" w:right="1440" w:gutter="0" w:header="432" w:top="1350" w:footer="720" w:bottom="1170"/>
          <w:pgNumType w:fmt="decimal"/>
          <w:formProt w:val="false"/>
          <w:textDirection w:val="lrTb"/>
          <w:docGrid w:type="default" w:linePitch="360" w:charSpace="0"/>
        </w:sectPr>
      </w:pPr>
    </w:p>
    <w:p>
      <w:pPr>
        <w:pStyle w:val="JustifiedBody"/>
        <w:keepNext w:val="true"/>
        <w:numPr>
          <w:ilvl w:val="0"/>
          <w:numId w:val="0"/>
        </w:numPr>
        <w:spacing w:before="120" w:after="60"/>
        <w:outlineLvl w:val="0"/>
        <w:rPr>
          <w:b/>
          <w:i/>
          <w:i/>
        </w:rPr>
      </w:pPr>
      <w:r>
        <w:rPr>
          <w:b/>
          <w:i/>
        </w:rPr>
        <w:t>Opportunity to Establish First-Prover Advantage in New Industries</w:t>
      </w:r>
    </w:p>
    <w:p>
      <w:pPr>
        <w:pStyle w:val="JustifiedBody"/>
        <w:rPr/>
      </w:pPr>
      <w:r>
        <w:rPr/>
        <w:t>Net Works is clearly differentiated from other online markets which are not principal-based and function simply as exchanges matching buyers and sellers.  By integrating Enron’s business model with the Internet and by responding quickly to the opportunity, Enron believes that Net Works is well positioned to achieve first-prover advantage.  Enron believes Net Works will be poised to achieve a leadership position in its Targeted Industries based on the combination of Enron’s decade plus of experience as a market-maker and its ability to build on EnronOnline’s leading eCommerce presence.  Companies that are perceived as being part of the Old Economy are trading at  low valuations in the public markets relative to those perceived as being part of the New Economy.  Those who are able to utilize these undervalued assets to create leading New Economy companies can create significant value.</w:t>
      </w:r>
    </w:p>
    <w:p>
      <w:pPr>
        <w:pStyle w:val="JustifiedBody"/>
        <w:numPr>
          <w:ilvl w:val="0"/>
          <w:numId w:val="0"/>
        </w:numPr>
        <w:tabs>
          <w:tab w:val="clear" w:pos="720"/>
          <w:tab w:val="left" w:pos="630" w:leader="none"/>
        </w:tabs>
        <w:spacing w:before="120" w:after="60"/>
        <w:outlineLvl w:val="0"/>
        <w:rPr>
          <w:b/>
          <w:i/>
          <w:i/>
        </w:rPr>
      </w:pPr>
      <w:r>
        <w:rPr>
          <w:b/>
          <w:i/>
        </w:rPr>
        <w:t xml:space="preserve">Several Attractive Industries Have Been Identified </w:t>
      </w:r>
    </w:p>
    <w:p>
      <w:pPr>
        <w:pStyle w:val="JustifiedBody"/>
        <w:tabs>
          <w:tab w:val="clear" w:pos="720"/>
          <w:tab w:val="left" w:pos="630" w:leader="none"/>
        </w:tabs>
        <w:rPr/>
      </w:pPr>
      <w:r>
        <w:rPr/>
        <w:t xml:space="preserve">The Internet is revolutionizing the way commerce is transacted by creating open access and reducing transaction costs.  Enron has identified several industries that offer the opportunity to replicate the success it has attained in the markets it has already transformed.  While it is widely believed that supplier  and consumer behavior in many industries will be dramatically impacted by eCommerce, Enron’s experience and capabilities established a first-mover, first-prover advantage that can be utilized by Net Works in pursuing other industries.  Base metals, pulp and paper, steel and lumber are the initial Target  Industries that Net Works will pursue. </w:t>
      </w:r>
    </w:p>
    <w:p>
      <w:pPr>
        <w:pStyle w:val="JustifiedBody"/>
        <w:tabs>
          <w:tab w:val="clear" w:pos="720"/>
          <w:tab w:val="left" w:pos="630" w:leader="none"/>
        </w:tabs>
        <w:rPr/>
      </w:pPr>
      <w:r>
        <w:rPr/>
        <w:t>The Net Works business model requires assured access to physical assets.  With Old Economy companies currently trading at low valuations relative to those perceived as being a part of the New Economy, there is an opportunity to earn compelling returns by incorporating these relatively undervalued assets into a New Economy business model.  When these Old Economy assets are combined with Enron’s intermediation sophistication, the goal is to become the leading market-maker in a given industry.  Enron has identified several characteristics of industries that are well-suited for intermediation and market-making services, including: (a) commodity-like products; (b) capital intensive; (c) volatile prices; (d) products which are a significant percentage of customers’ total cost; (e) inefficient sales processes; (f) complex logistics systems; and (g) slow moving, highly fragmented markets with no dominant participant.</w:t>
      </w:r>
    </w:p>
    <w:p>
      <w:pPr>
        <w:pStyle w:val="JustifiedBody"/>
        <w:numPr>
          <w:ilvl w:val="0"/>
          <w:numId w:val="0"/>
        </w:numPr>
        <w:spacing w:before="120" w:after="60"/>
        <w:outlineLvl w:val="0"/>
        <w:rPr/>
      </w:pPr>
      <w:r>
        <w:rPr>
          <w:b/>
          <w:i/>
        </w:rPr>
        <w:t>Significant Commitment from Enron</w:t>
      </w:r>
      <w:r>
        <w:rPr/>
        <w:t xml:space="preserve"> </w:t>
      </w:r>
    </w:p>
    <w:p>
      <w:pPr>
        <w:pStyle w:val="JustifiedBody"/>
        <w:tabs>
          <w:tab w:val="clear" w:pos="720"/>
          <w:tab w:val="left" w:pos="630" w:leader="none"/>
        </w:tabs>
        <w:rPr/>
      </w:pPr>
      <w:r>
        <w:rPr/>
        <w:t>Net Works is a strategic priority for Enron and the Company expects to devote substantial management capabilities and resources to develop the opportunity, including the active involvement of three members of Enron’s Executive Committee.  Enron is dedicating over 100 professionals with substantial Enron experience and eCommerce expertise to Net Works which will be fully integrated operationally into Enron.  The acquired operations will report to Enron regional executives.  Additionally, Net Works will benefit from Enron’s infrastructure.  Aside from dedicating management and organizational support to Net Works, Enron will contribute: (1) its pulp and paper business; (2) EnronOnline’s technology and capabilities; (3) credit support to enhance business opportunities; (4) the functionality of Enron’s risk management information technology; and (5) the ability to use Enron’s well-regarded brand name.  Additionally, Enron is bridge financing the pending MG plc acquisition that Net Works will acquire, at Enron’s cost basis, once capital has been raised through this private placement.</w:t>
      </w:r>
    </w:p>
    <w:p>
      <w:pPr>
        <w:sectPr>
          <w:type w:val="continuous"/>
          <w:pgSz w:w="12240" w:h="15840"/>
          <w:pgMar w:left="1440" w:right="1440" w:gutter="0" w:header="432" w:top="1350" w:footer="720" w:bottom="1170"/>
          <w:formProt w:val="false"/>
          <w:textDirection w:val="lrTb"/>
          <w:docGrid w:type="default" w:linePitch="360" w:charSpace="0"/>
        </w:sectPr>
      </w:pPr>
    </w:p>
    <w:p>
      <w:pPr>
        <w:pStyle w:val="Heading4"/>
        <w:spacing w:lineRule="auto" w:line="240" w:before="60" w:after="60"/>
        <w:ind w:hanging="0" w:start="0"/>
        <w:rPr>
          <w:smallCaps/>
        </w:rPr>
      </w:pPr>
      <w:bookmarkStart w:id="2" w:name="_Ref489097474"/>
      <w:r>
        <w:rPr>
          <w:smallCaps/>
        </w:rPr>
        <w:t>Overview of Enron Corp.</w:t>
      </w:r>
      <w:bookmarkEnd w:id="2"/>
    </w:p>
    <w:p>
      <w:pPr>
        <w:pStyle w:val="JustifiedBody"/>
        <w:rPr/>
      </w:pPr>
      <w:r>
        <w:rPr/>
        <w:t>Enron, headquartered in Houston, Texas, is one of the world’s largest integrated energy and communications services companies generating revenues of [$</w:t>
      </w:r>
      <w:r>
        <w:rPr>
          <w:highlight w:val="yellow"/>
        </w:rPr>
        <w:t>45.6</w:t>
      </w:r>
      <w:r>
        <w:rPr/>
        <w:t>] billion for the twelve months ended June 30, 2000, and having a market capitalization of [$47.2] billion and [$</w:t>
      </w:r>
      <w:r>
        <w:rPr>
          <w:highlight w:val="yellow"/>
        </w:rPr>
        <w:t>33.4</w:t>
      </w:r>
      <w:r>
        <w:rPr/>
        <w:t>] billion in assets as of that date.  Enron employs approximately 18,000 employees.  The Company ranked 18</w:t>
      </w:r>
      <w:r>
        <w:rPr>
          <w:vertAlign w:val="superscript"/>
        </w:rPr>
        <w:t>th</w:t>
      </w:r>
      <w:r>
        <w:rPr/>
        <w:t xml:space="preserve"> in </w:t>
      </w:r>
      <w:r>
        <w:rPr>
          <w:i/>
        </w:rPr>
        <w:t>Fortune</w:t>
      </w:r>
      <w:r>
        <w:rPr/>
        <w:t xml:space="preserve"> magazine’s listing of the 500 largest U.S. companies based upon 1999 revenues.  </w:t>
      </w:r>
      <w:r>
        <w:rPr>
          <w:i/>
        </w:rPr>
        <w:t>Fortune</w:t>
      </w:r>
      <w:r>
        <w:rPr/>
        <w:t xml:space="preserve"> magazine also recognized Enron as the Most Innovative Company of 2000, marking the fifth consecutive year for the Company to receive such recognition.  </w:t>
      </w:r>
      <w:r>
        <w:rPr>
          <w:i/>
        </w:rPr>
        <w:t>Fortune</w:t>
      </w:r>
      <w:r>
        <w:rPr/>
        <w:t xml:space="preserve"> also ranked Enron #1 in Quality of Management and #2 in Employee Talent of all U.S. companies.  For more detail on each business segment, see Appendix A of this Memorandum.</w:t>
      </w:r>
    </w:p>
    <w:p>
      <w:pPr>
        <w:pStyle w:val="JustifiedBody"/>
        <w:rPr/>
      </w:pPr>
      <w:r>
        <w:rPr/>
        <w:t xml:space="preserve">Formed in 1985 by the merger of two natural gas transmission companies, Enron has evolved to become a leading market-maker, for its own account, across a broad range of products and industries.  While Enron desires to remain a leading energy company, it is aggressively pursuing opportunities to utilize its competencies to gain leadership in other industries where Enron’s skills and talents are applicable.  Enron is currently utilizing its business model to enter the telecommunications industry through the formation of Enron Broadband Services.  Broadband Services has developed an intelligent network (14,300 miles) to deliver high bandwidth applications to every major U.S. city and will soon be linked to Tokyo, London and other major European cities.  Enron expects to capitalize on the growth of the market for broadband services, which is expected to exceed the combined market for electricity and natural gas.  By offering bandwidth intermediation services, Enron will allow users to more efficiently manage their broadband requirements. </w:t>
      </w:r>
    </w:p>
    <w:p>
      <w:pPr>
        <w:pStyle w:val="JustifiedBody"/>
        <w:rPr/>
      </w:pPr>
      <w:r>
        <w:rPr/>
        <w:t>Net Works represents Enron’s newest business initiative and will rely on the capabilities that have allowed the Company to be successful in other industries.  Enron operations are currently organized into the following five segments:</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60" w:after="60"/>
              <w:ind w:end="547"/>
              <w:jc w:val="center"/>
              <w:rPr>
                <w:color w:val="FFFFFF"/>
                <w:sz w:val="24"/>
              </w:rPr>
            </w:pPr>
            <w:r>
              <w:rPr>
                <w:b/>
                <w:smallCaps/>
                <w:color w:val="FFFFFF"/>
                <w:sz w:val="24"/>
              </w:rPr>
              <w:t>Enron’s  Businesses</w:t>
            </w:r>
          </w:p>
        </w:tc>
      </w:tr>
      <w:tr>
        <w:trPr>
          <w:trHeight w:val="2853" w:hRule="atLeast"/>
        </w:trPr>
        <w:tc>
          <w:tcPr>
            <w:tcW w:w="9360" w:type="dxa"/>
            <w:tcBorders>
              <w:start w:val="single" w:sz="4" w:space="0" w:color="000000"/>
              <w:bottom w:val="single" w:sz="4" w:space="0" w:color="000000"/>
              <w:end w:val="single" w:sz="4" w:space="0" w:color="000000"/>
            </w:tcBorders>
            <w:vAlign w:val="bottom"/>
          </w:tcPr>
          <w:p>
            <w:pPr>
              <w:pStyle w:val="JustifiedBody"/>
              <w:spacing w:before="60" w:after="0"/>
              <w:rPr/>
            </w:pPr>
            <w:r>
              <w:rPr/>
              <w:drawing>
                <wp:inline distT="0" distB="0" distL="0" distR="0">
                  <wp:extent cx="5801995" cy="189865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32"/>
                          <a:srcRect l="-5" t="-14" r="-5" b="-14"/>
                          <a:stretch>
                            <a:fillRect/>
                          </a:stretch>
                        </pic:blipFill>
                        <pic:spPr bwMode="auto">
                          <a:xfrm>
                            <a:off x="0" y="0"/>
                            <a:ext cx="5801995" cy="1898650"/>
                          </a:xfrm>
                          <a:prstGeom prst="rect">
                            <a:avLst/>
                          </a:prstGeom>
                          <a:noFill/>
                        </pic:spPr>
                      </pic:pic>
                    </a:graphicData>
                  </a:graphic>
                </wp:inline>
              </w:drawing>
            </w:r>
          </w:p>
        </w:tc>
      </w:tr>
    </w:tbl>
    <w:p>
      <w:pPr>
        <w:pStyle w:val="Heading4"/>
        <w:spacing w:lineRule="auto" w:line="240" w:before="120" w:after="60"/>
        <w:ind w:hanging="0" w:start="0"/>
        <w:rPr>
          <w:smallCaps/>
        </w:rPr>
      </w:pPr>
      <w:r>
        <w:rPr>
          <w:smallCaps/>
        </w:rPr>
        <w:t>Transition to a New Economy Company</w:t>
      </w:r>
    </w:p>
    <w:p>
      <w:pPr>
        <w:sectPr>
          <w:headerReference w:type="default" r:id="rId33"/>
          <w:footerReference w:type="default" r:id="rId34"/>
          <w:type w:val="nextPage"/>
          <w:pgSz w:w="12240" w:h="15840"/>
          <w:pgMar w:left="1440" w:right="1440" w:gutter="0" w:header="432" w:top="1350" w:footer="720" w:bottom="1080"/>
          <w:pgNumType w:fmt="decimal"/>
          <w:formProt w:val="false"/>
          <w:textDirection w:val="lrTb"/>
          <w:docGrid w:type="default" w:linePitch="360" w:charSpace="0"/>
        </w:sectPr>
        <w:pStyle w:val="JustifiedBody"/>
        <w:rPr/>
      </w:pPr>
      <w:r>
        <w:rPr/>
        <w:t>Enron has created an entrepreneurial culture that rapidly adjusts to changing market environments.  Enron recognizes that the New Economy is dramatically changing the rules of commerce.  Commodity-oriented businesses have become knowledge-based and place a premium on creativity.  Enron seeks to be an innovator and is aggressively pursuing opportunities created by the information technology revolution.  In its 1999 annual report, Enron highlighted four traits that it possesses and define a New Economy company:</w:t>
      </w:r>
    </w:p>
    <w:p>
      <w:pPr>
        <w:pStyle w:val="JustifiedBody"/>
        <w:numPr>
          <w:ilvl w:val="0"/>
          <w:numId w:val="9"/>
        </w:numPr>
        <w:tabs>
          <w:tab w:val="clear" w:pos="720"/>
          <w:tab w:val="left" w:pos="630" w:leader="none"/>
        </w:tabs>
        <w:rPr/>
      </w:pPr>
      <w:r>
        <w:rPr>
          <w:b/>
          <w:i/>
        </w:rPr>
        <w:t>Strength comes from knowledge, not just physical assets.</w:t>
      </w:r>
      <w:r>
        <w:rPr>
          <w:i/>
        </w:rPr>
        <w:t xml:space="preserve">  </w:t>
      </w:r>
      <w:r>
        <w:rPr/>
        <w:t>Enron has become a pre-eminent energy and communications company, not only by building and controlling assets, but also by applying its knowledge and experience to the utilization of those assets, creating a market-making network such as it has done in its electricity and natural gas businesses.  In total, Enron has used its market-making knowledge to take a leading role in the transformation of eight markets and is in the process of seeking to change buyer and seller behavior in five other markets.</w:t>
      </w:r>
    </w:p>
    <w:p>
      <w:pPr>
        <w:pStyle w:val="JustifiedBody"/>
        <w:numPr>
          <w:ilvl w:val="0"/>
          <w:numId w:val="9"/>
        </w:numPr>
        <w:tabs>
          <w:tab w:val="left" w:pos="720" w:leader="none"/>
        </w:tabs>
        <w:rPr/>
      </w:pPr>
      <w:r>
        <w:rPr>
          <w:b/>
          <w:i/>
        </w:rPr>
        <w:t xml:space="preserve">A New Economy player must operate globally </w:t>
      </w:r>
      <w:r>
        <w:rPr>
          <w:rFonts w:eastAsia="Symbol" w:cs="Symbol" w:ascii="Symbol" w:hAnsi="Symbol"/>
          <w:b/>
          <w:i/>
        </w:rPr>
        <w:sym w:font="Symbol" w:char="f02d"/>
      </w:r>
      <w:r>
        <w:rPr>
          <w:b/>
          <w:i/>
        </w:rPr>
        <w:t xml:space="preserve">  transferring ideas, people and services from region to region.  </w:t>
      </w:r>
      <w:r>
        <w:rPr/>
        <w:t>Enron’s knowledge and expertise criss-cross the globe.  What the Company has learned about natural gas pipelines in the U.S. has helped it to build new natural gas markets, most recently in South America and India.  Enron’s knowledge of optimizing capacity in energy networks is also allowing it to revolutionize the market for broadband services.  Enron believes the knowledge gained in making markets in energy will allow it to effectively intermediate other industries with commodity-like products.</w:t>
      </w:r>
    </w:p>
    <w:p>
      <w:pPr>
        <w:pStyle w:val="JustifiedBody"/>
        <w:numPr>
          <w:ilvl w:val="0"/>
          <w:numId w:val="9"/>
        </w:numPr>
        <w:tabs>
          <w:tab w:val="left" w:pos="720" w:leader="none"/>
        </w:tabs>
        <w:rPr/>
      </w:pPr>
      <w:r>
        <w:rPr>
          <w:b/>
          <w:i/>
        </w:rPr>
        <w:t xml:space="preserve">New Economy companies understand that constant innovation is their only defense against competition.  </w:t>
      </w:r>
      <w:r>
        <w:rPr/>
        <w:t>In several instances, Enron has introduced products before competitors have indicated an awareness of a developing market.  Cross-commodity trading, weather derivatives, energy outsourcing and 1999’s two major initiatives – creation of EnronOnline and the penetration of the broadband services market – are examples of Enron’s determination to be innovative.</w:t>
      </w:r>
    </w:p>
    <w:p>
      <w:pPr>
        <w:pStyle w:val="JustifiedBody"/>
        <w:numPr>
          <w:ilvl w:val="0"/>
          <w:numId w:val="9"/>
        </w:numPr>
        <w:tabs>
          <w:tab w:val="left" w:pos="720" w:leader="none"/>
        </w:tabs>
        <w:rPr/>
      </w:pPr>
      <w:r>
        <w:rPr>
          <w:b/>
          <w:i/>
        </w:rPr>
        <w:t xml:space="preserve">Success in the New Economy requires the skillful use of information to restructure an organization and boost productivity.  </w:t>
      </w:r>
      <w:r>
        <w:rPr/>
        <w:t>The</w:t>
      </w:r>
      <w:r>
        <w:rPr>
          <w:i/>
        </w:rPr>
        <w:t xml:space="preserve"> </w:t>
      </w:r>
      <w:r>
        <w:rPr/>
        <w:t>connectivity</w:t>
      </w:r>
      <w:r>
        <w:rPr>
          <w:i/>
        </w:rPr>
        <w:t xml:space="preserve"> </w:t>
      </w:r>
      <w:r>
        <w:rPr/>
        <w:t>of Enron’s networks allows it to gather large amounts of market data to provide market snapshots and to identify emerging trends.  This information is available to each Enron marketer and originator in every part of the world, helping the company to make informed moves and identify opportunities at the first possible moment.  Enron believes the fluidity of knowledge and skills throughout the Company will enable it to capture value in the New Economy.</w:t>
      </w:r>
    </w:p>
    <w:p>
      <w:pPr>
        <w:pStyle w:val="JustifiedBody"/>
        <w:tabs>
          <w:tab w:val="clear" w:pos="720"/>
          <w:tab w:val="left" w:pos="2160" w:leader="none"/>
        </w:tabs>
        <w:spacing w:before="60" w:after="60"/>
        <w:rPr>
          <w:b/>
        </w:rPr>
      </w:pPr>
      <w:r>
        <w:rPr>
          <w:b/>
          <w:smallCaps/>
          <w:sz w:val="24"/>
        </w:rPr>
        <w:t>Experience Transforming Commodity Industries</w:t>
      </w:r>
    </w:p>
    <w:p>
      <w:pPr>
        <w:pStyle w:val="JustifiedBody"/>
        <w:spacing w:before="0" w:after="60"/>
        <w:rPr/>
      </w:pPr>
      <w:r>
        <w:rPr/>
        <w:t>When the Federal Energy Regulatory Commission finalized deregulation of natural gas in 1992, and electricity in 1996, Enron became an innovative intermediary utilizing sophisticated financial products and providing logistics and settlement services to allow buyers and sellers to transact in ways not previously possible.  Enron’s activities include the purchase, sale, marketing and delivery of commodities and management of associated price risks, as well as back-office services.  Enron provides customers predictable pricing and reliable delivery for a range of commodities.  As the largest wholesale power and gas marketer in the U.S., Enron markets and trades not only electricity and natural gas, but also a wide range of products.</w:t>
      </w:r>
    </w:p>
    <w:tbl>
      <w:tblPr>
        <w:tblW w:w="9468" w:type="dxa"/>
        <w:jc w:val="start"/>
        <w:tblInd w:w="108" w:type="dxa"/>
        <w:tblLayout w:type="fixed"/>
        <w:tblCellMar>
          <w:top w:w="0" w:type="dxa"/>
          <w:start w:w="108" w:type="dxa"/>
          <w:bottom w:w="0" w:type="dxa"/>
          <w:end w:w="108" w:type="dxa"/>
        </w:tblCellMar>
      </w:tblPr>
      <w:tblGrid>
        <w:gridCol w:w="4680"/>
        <w:gridCol w:w="4788"/>
      </w:tblGrid>
      <w:tr>
        <w:trPr>
          <w:trHeight w:val="400" w:hRule="exact"/>
        </w:trPr>
        <w:tc>
          <w:tcPr>
            <w:tcW w:w="9468" w:type="dxa"/>
            <w:gridSpan w:val="2"/>
            <w:tcBorders>
              <w:top w:val="single" w:sz="4" w:space="0" w:color="000000"/>
              <w:start w:val="single" w:sz="4" w:space="0" w:color="000000"/>
              <w:end w:val="single" w:sz="4" w:space="0" w:color="000000"/>
            </w:tcBorders>
            <w:shd w:fill="0000FF" w:val="clear"/>
          </w:tcPr>
          <w:p>
            <w:pPr>
              <w:pStyle w:val="Header"/>
              <w:tabs>
                <w:tab w:val="clear" w:pos="4320"/>
                <w:tab w:val="clear" w:pos="8640"/>
              </w:tabs>
              <w:spacing w:before="60" w:after="60"/>
              <w:jc w:val="center"/>
              <w:rPr>
                <w:color w:val="FFFFFF"/>
              </w:rPr>
            </w:pPr>
            <w:r>
              <w:rPr>
                <w:b/>
                <w:smallCaps/>
                <w:color w:val="FFFFFF"/>
                <w:sz w:val="24"/>
              </w:rPr>
              <w:t>Enron Markets Transformed</w:t>
            </w:r>
          </w:p>
        </w:tc>
      </w:tr>
      <w:tr>
        <w:trPr>
          <w:trHeight w:val="270" w:hRule="atLeast"/>
        </w:trPr>
        <w:tc>
          <w:tcPr>
            <w:tcW w:w="4680" w:type="dxa"/>
            <w:tcBorders>
              <w:start w:val="single" w:sz="4" w:space="0" w:color="000000"/>
              <w:bottom w:val="single" w:sz="4" w:space="0" w:color="000000"/>
            </w:tcBorders>
          </w:tcPr>
          <w:p>
            <w:pPr>
              <w:pStyle w:val="Header"/>
              <w:pBdr>
                <w:bottom w:val="single" w:sz="4" w:space="1" w:color="000000"/>
              </w:pBdr>
              <w:tabs>
                <w:tab w:val="clear" w:pos="4320"/>
                <w:tab w:val="clear" w:pos="8640"/>
              </w:tabs>
              <w:spacing w:before="60" w:after="60"/>
              <w:ind w:start="994" w:end="346"/>
              <w:jc w:val="center"/>
              <w:rPr>
                <w:b/>
              </w:rPr>
            </w:pPr>
            <w:r>
              <w:rPr>
                <w:b/>
              </w:rPr>
              <w:t>Transformed Markets</w:t>
            </w:r>
          </w:p>
          <w:p>
            <w:pPr>
              <w:pStyle w:val="Header"/>
              <w:tabs>
                <w:tab w:val="clear" w:pos="4320"/>
                <w:tab w:val="clear" w:pos="8640"/>
              </w:tabs>
              <w:spacing w:before="20" w:after="0"/>
              <w:ind w:start="1440" w:end="518"/>
              <w:rPr>
                <w:b/>
              </w:rPr>
            </w:pPr>
            <w:r>
              <w:rPr>
                <w:b/>
              </w:rPr>
              <w:t>Natural Gas</w:t>
            </w:r>
          </w:p>
          <w:p>
            <w:pPr>
              <w:pStyle w:val="Header"/>
              <w:tabs>
                <w:tab w:val="clear" w:pos="4320"/>
                <w:tab w:val="clear" w:pos="8640"/>
              </w:tabs>
              <w:spacing w:before="20" w:after="0"/>
              <w:ind w:start="1710" w:end="518"/>
              <w:rPr/>
            </w:pPr>
            <w:r>
              <w:rPr/>
              <w:t>U.S.</w:t>
            </w:r>
          </w:p>
          <w:p>
            <w:pPr>
              <w:pStyle w:val="Header"/>
              <w:tabs>
                <w:tab w:val="clear" w:pos="4320"/>
                <w:tab w:val="clear" w:pos="8640"/>
              </w:tabs>
              <w:spacing w:before="20" w:after="60"/>
              <w:ind w:start="1714" w:end="518"/>
              <w:rPr/>
            </w:pPr>
            <w:r>
              <w:rPr/>
              <w:t>United Kingdom</w:t>
            </w:r>
          </w:p>
          <w:p>
            <w:pPr>
              <w:pStyle w:val="Header"/>
              <w:tabs>
                <w:tab w:val="clear" w:pos="4320"/>
                <w:tab w:val="clear" w:pos="8640"/>
              </w:tabs>
              <w:spacing w:before="60" w:after="0"/>
              <w:ind w:start="1440" w:end="518"/>
              <w:rPr>
                <w:b/>
              </w:rPr>
            </w:pPr>
            <w:r>
              <w:rPr>
                <w:b/>
              </w:rPr>
              <w:t>Power</w:t>
            </w:r>
          </w:p>
          <w:p>
            <w:pPr>
              <w:pStyle w:val="Header"/>
              <w:tabs>
                <w:tab w:val="clear" w:pos="4320"/>
                <w:tab w:val="clear" w:pos="8640"/>
              </w:tabs>
              <w:spacing w:before="20" w:after="0"/>
              <w:ind w:start="1710" w:end="518"/>
              <w:rPr/>
            </w:pPr>
            <w:r>
              <w:rPr/>
              <w:t>U.S.</w:t>
            </w:r>
          </w:p>
          <w:p>
            <w:pPr>
              <w:pStyle w:val="Header"/>
              <w:tabs>
                <w:tab w:val="clear" w:pos="4320"/>
                <w:tab w:val="clear" w:pos="8640"/>
              </w:tabs>
              <w:spacing w:before="20" w:after="0"/>
              <w:ind w:start="1710" w:end="518"/>
              <w:rPr/>
            </w:pPr>
            <w:r>
              <w:rPr/>
              <w:t>United Kingdom</w:t>
            </w:r>
          </w:p>
          <w:p>
            <w:pPr>
              <w:pStyle w:val="Header"/>
              <w:tabs>
                <w:tab w:val="clear" w:pos="4320"/>
                <w:tab w:val="clear" w:pos="8640"/>
              </w:tabs>
              <w:spacing w:before="20" w:after="0"/>
              <w:ind w:start="1710" w:end="518"/>
              <w:rPr/>
            </w:pPr>
            <w:r>
              <w:rPr/>
              <w:t>Nordic</w:t>
            </w:r>
          </w:p>
          <w:p>
            <w:pPr>
              <w:pStyle w:val="Header"/>
              <w:tabs>
                <w:tab w:val="clear" w:pos="4320"/>
                <w:tab w:val="clear" w:pos="8640"/>
              </w:tabs>
              <w:spacing w:before="20" w:after="0"/>
              <w:ind w:start="1710" w:end="518"/>
              <w:rPr/>
            </w:pPr>
            <w:r>
              <w:rPr/>
              <w:t>Australian</w:t>
            </w:r>
          </w:p>
          <w:p>
            <w:pPr>
              <w:pStyle w:val="Header"/>
              <w:tabs>
                <w:tab w:val="clear" w:pos="4320"/>
                <w:tab w:val="clear" w:pos="8640"/>
              </w:tabs>
              <w:spacing w:before="20" w:after="60"/>
              <w:ind w:start="1714" w:end="518"/>
              <w:rPr/>
            </w:pPr>
            <w:r>
              <w:rPr/>
              <w:t>Continental European</w:t>
            </w:r>
          </w:p>
          <w:p>
            <w:pPr>
              <w:pStyle w:val="Header"/>
              <w:tabs>
                <w:tab w:val="clear" w:pos="4320"/>
                <w:tab w:val="clear" w:pos="8640"/>
              </w:tabs>
              <w:spacing w:before="0" w:after="120"/>
              <w:ind w:start="1440" w:end="0"/>
              <w:rPr>
                <w:b/>
              </w:rPr>
            </w:pPr>
            <w:r>
              <w:rPr>
                <w:b/>
              </w:rPr>
              <w:t>Global Coal</w:t>
            </w:r>
          </w:p>
        </w:tc>
        <w:tc>
          <w:tcPr>
            <w:tcW w:w="4788" w:type="dxa"/>
            <w:tcBorders>
              <w:bottom w:val="single" w:sz="4" w:space="0" w:color="000000"/>
              <w:end w:val="single" w:sz="4" w:space="0" w:color="000000"/>
            </w:tcBorders>
          </w:tcPr>
          <w:p>
            <w:pPr>
              <w:pStyle w:val="Header"/>
              <w:pBdr>
                <w:bottom w:val="single" w:sz="4" w:space="1" w:color="000000"/>
              </w:pBdr>
              <w:tabs>
                <w:tab w:val="clear" w:pos="4320"/>
                <w:tab w:val="clear" w:pos="8640"/>
              </w:tabs>
              <w:spacing w:before="60" w:after="60"/>
              <w:ind w:start="259" w:end="1080"/>
              <w:jc w:val="center"/>
              <w:rPr>
                <w:b/>
              </w:rPr>
            </w:pPr>
            <w:r>
              <w:rPr>
                <w:b/>
              </w:rPr>
              <w:t>Transformation In Process</w:t>
            </w:r>
          </w:p>
          <w:p>
            <w:pPr>
              <w:pStyle w:val="Header"/>
              <w:tabs>
                <w:tab w:val="clear" w:pos="4320"/>
                <w:tab w:val="clear" w:pos="8640"/>
              </w:tabs>
              <w:spacing w:before="60" w:after="60"/>
              <w:ind w:start="979" w:end="518"/>
              <w:rPr>
                <w:b/>
              </w:rPr>
            </w:pPr>
            <w:r>
              <w:rPr>
                <w:b/>
              </w:rPr>
              <w:t>Base Metals</w:t>
            </w:r>
          </w:p>
          <w:p>
            <w:pPr>
              <w:pStyle w:val="Header"/>
              <w:tabs>
                <w:tab w:val="clear" w:pos="4320"/>
                <w:tab w:val="clear" w:pos="8640"/>
              </w:tabs>
              <w:spacing w:before="60" w:after="60"/>
              <w:ind w:start="979" w:end="518"/>
              <w:rPr>
                <w:b/>
              </w:rPr>
            </w:pPr>
            <w:r>
              <w:rPr>
                <w:b/>
              </w:rPr>
              <w:t>Broadband</w:t>
            </w:r>
          </w:p>
          <w:p>
            <w:pPr>
              <w:pStyle w:val="Header"/>
              <w:tabs>
                <w:tab w:val="clear" w:pos="4320"/>
                <w:tab w:val="clear" w:pos="8640"/>
              </w:tabs>
              <w:spacing w:before="60" w:after="60"/>
              <w:ind w:start="979" w:end="518"/>
              <w:rPr>
                <w:b/>
              </w:rPr>
            </w:pPr>
            <w:r>
              <w:rPr>
                <w:b/>
              </w:rPr>
              <w:t>Emissions Credits</w:t>
            </w:r>
          </w:p>
          <w:p>
            <w:pPr>
              <w:pStyle w:val="Header"/>
              <w:tabs>
                <w:tab w:val="clear" w:pos="4320"/>
                <w:tab w:val="clear" w:pos="8640"/>
              </w:tabs>
              <w:spacing w:before="60" w:after="60"/>
              <w:ind w:start="979" w:end="518"/>
              <w:rPr>
                <w:b/>
              </w:rPr>
            </w:pPr>
            <w:r>
              <w:rPr>
                <w:b/>
              </w:rPr>
              <w:t>Pulp and Paper</w:t>
            </w:r>
          </w:p>
          <w:p>
            <w:pPr>
              <w:pStyle w:val="Header"/>
              <w:tabs>
                <w:tab w:val="clear" w:pos="4320"/>
                <w:tab w:val="clear" w:pos="8640"/>
              </w:tabs>
              <w:spacing w:before="60" w:after="60"/>
              <w:ind w:start="979" w:end="518"/>
              <w:rPr>
                <w:b/>
              </w:rPr>
            </w:pPr>
            <w:r>
              <w:rPr>
                <w:b/>
              </w:rPr>
              <w:t>Weather Derivatives</w:t>
            </w:r>
          </w:p>
          <w:p>
            <w:pPr>
              <w:pStyle w:val="Header"/>
              <w:tabs>
                <w:tab w:val="clear" w:pos="4320"/>
                <w:tab w:val="clear" w:pos="8640"/>
              </w:tabs>
              <w:spacing w:before="20" w:after="0"/>
              <w:ind w:start="1440" w:end="518"/>
              <w:rPr>
                <w:b/>
              </w:rPr>
            </w:pPr>
            <w:r>
              <w:rPr>
                <w:b/>
              </w:rPr>
            </w:r>
          </w:p>
        </w:tc>
      </w:tr>
    </w:tbl>
    <w:p>
      <w:pPr>
        <w:pStyle w:val="JustifiedBody"/>
        <w:spacing w:before="120" w:after="60"/>
        <w:rPr>
          <w:b/>
          <w:smallCaps/>
          <w:sz w:val="24"/>
        </w:rPr>
      </w:pPr>
      <w:r>
        <w:rPr>
          <w:b/>
          <w:smallCaps/>
          <w:sz w:val="24"/>
        </w:rPr>
      </w:r>
    </w:p>
    <w:p>
      <w:pPr>
        <w:pStyle w:val="JustifiedBody"/>
        <w:spacing w:before="120" w:after="60"/>
        <w:rPr>
          <w:b/>
          <w:smallCaps/>
          <w:sz w:val="24"/>
        </w:rPr>
      </w:pPr>
      <w:r>
        <w:rPr>
          <w:b/>
          <w:smallCaps/>
          <w:sz w:val="24"/>
        </w:rPr>
        <w:t>Enron’s Business Model</w:t>
      </w:r>
    </w:p>
    <w:p>
      <w:pPr>
        <w:pStyle w:val="JustifiedBody"/>
        <w:rPr/>
      </w:pPr>
      <w:r>
        <w:rPr/>
        <w:t>In traditional B2B marketplaces, product is transacted on a time-consuming, individually negotiated basis.  Producers must balance the maintenance of pricing integrity with the need to respond to competitive pressures.  Alternatively, purchasers encounter risks if they do business with unknown parties where quality and delivery are unreliable.  Substantial efficiency can be created in a market where a sophisticated market-maker exists; however, it is a complicated business.  First, product standards need to be established to create tradable commodities so buyers have a clear definition of the product they are purchasing.  Although producers go to great lengths to try to differentiate their product, Enron believes many industries are actually selling products whose characteristics are chemically defined.  Accordingly, Enron believes product standards can be effectively established in these industries.</w:t>
      </w:r>
    </w:p>
    <w:p>
      <w:pPr>
        <w:pStyle w:val="JustifiedBody"/>
        <w:rPr/>
      </w:pPr>
      <w:r>
        <w:rPr/>
        <w:t xml:space="preserve">Enron believes obtaining assured access to product is a necessary prerequisite to the creation of an intermediated market.  Assured product access forms the foundation of Enron’s business model.  </w:t>
      </w:r>
      <w:r>
        <w:rPr>
          <w:highlight w:val="yellow"/>
        </w:rPr>
        <w:t xml:space="preserve">Enron also has its own production and logistical capabilities and forms strategic contractual relationships that ensure access to other’s physical assets.  </w:t>
      </w:r>
      <w:r>
        <w:rPr/>
        <w:t xml:space="preserve">Once access to physical supply has been obtained, Enron can optimize its large portfolio of contracts to source low cost products that meet user needs.  Once market liquidity has been established, Enron can divest production assets that no longer have strategic significance.  </w:t>
      </w:r>
    </w:p>
    <w:p>
      <w:pPr>
        <w:pStyle w:val="JustifiedBody"/>
        <w:rPr/>
      </w:pPr>
      <w:r>
        <w:rPr/>
        <w:t xml:space="preserve">Enron utilizes financial products to sell long-term products at predictable prices.  Acting as a market-maker, Enron uses portfolio and risk management disciplines, including offsetting and hedging transactions to manage exposures to market price movements.  Aside from creating liquidity for sellers and allowing buyers to better manage their pricing, to effectively intermediate an industry requires sophisticated logistics and settlement capabilities to ensure efficient product delivery and facilitate an orderly exchange. </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rPr>
              <w:t>Enron’s Intermediation Strategy</w:t>
            </w:r>
          </w:p>
        </w:tc>
      </w:tr>
      <w:tr>
        <w:trPr>
          <w:trHeight w:val="2781" w:hRule="atLeast"/>
        </w:trPr>
        <w:tc>
          <w:tcPr>
            <w:tcW w:w="9360" w:type="dxa"/>
            <w:tcBorders>
              <w:start w:val="single" w:sz="4" w:space="0" w:color="000000"/>
              <w:bottom w:val="single" w:sz="4" w:space="0" w:color="000000"/>
              <w:end w:val="single" w:sz="4" w:space="0" w:color="000000"/>
            </w:tcBorders>
          </w:tcPr>
          <w:p>
            <w:pPr>
              <w:pStyle w:val="JustifiedBody"/>
              <w:spacing w:before="120" w:after="0"/>
              <w:jc w:val="center"/>
              <w:rPr/>
            </w:pPr>
            <w:r>
              <w:rPr/>
              <w:drawing>
                <wp:inline distT="0" distB="0" distL="0" distR="0">
                  <wp:extent cx="5613400" cy="1655445"/>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35"/>
                          <a:srcRect l="-6" t="-22" r="-6" b="-22"/>
                          <a:stretch>
                            <a:fillRect/>
                          </a:stretch>
                        </pic:blipFill>
                        <pic:spPr bwMode="auto">
                          <a:xfrm>
                            <a:off x="0" y="0"/>
                            <a:ext cx="5613400" cy="1655445"/>
                          </a:xfrm>
                          <a:prstGeom prst="rect">
                            <a:avLst/>
                          </a:prstGeom>
                          <a:noFill/>
                        </pic:spPr>
                      </pic:pic>
                    </a:graphicData>
                  </a:graphic>
                </wp:inline>
              </w:drawing>
            </w:r>
          </w:p>
        </w:tc>
      </w:tr>
    </w:tbl>
    <w:p>
      <w:pPr>
        <w:pStyle w:val="JustifiedBody"/>
        <w:spacing w:before="120" w:after="120"/>
        <w:rPr/>
      </w:pPr>
      <w:r>
        <w:rPr/>
        <w:t>Enron’s business model: (1) defines physical product standards to create base commodities; (2) creates liquidity by serving as a market-maker; (3) uses its liquidity to provide the markets with innovative financial products; (4) provides settlement activity and back-office support to facilitate an orderly exchange; (5) develops networks for physical distribution to allow efficient delivery of product; (6) dedicates an independent staff of risk management professionals (who report to Enron’s Board of Directors) to manage the Company’s risk through utilization of “value at risk” and other sophisticated portfolio management techniques; (7) benefits from its investment of more than $600 million in information technology to enable both its market-making activity and risk management function; and (8) develops and manages origination professionals who are financially skilled and able to sell high margin, customized contracts, many of which are long-term in nature.</w:t>
      </w:r>
    </w:p>
    <w:p>
      <w:pPr>
        <w:pStyle w:val="JustifiedBody"/>
        <w:spacing w:before="120" w:after="120"/>
        <w:rPr/>
      </w:pPr>
      <w:r>
        <w:rPr/>
      </w:r>
    </w:p>
    <w:p>
      <w:pPr>
        <w:pStyle w:val="JustifiedBody"/>
        <w:spacing w:before="120" w:after="120"/>
        <w:rPr/>
      </w:pPr>
      <w:r>
        <w:rPr/>
      </w:r>
    </w:p>
    <w:p>
      <w:pPr>
        <w:pStyle w:val="JustifiedBody"/>
        <w:spacing w:before="120" w:after="120"/>
        <w:rPr/>
      </w:pPr>
      <w:r>
        <w:rPr/>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bottom w:val="single" w:sz="4" w:space="0" w:color="000000"/>
              <w:end w:val="single" w:sz="4" w:space="0" w:color="000000"/>
            </w:tcBorders>
            <w:shd w:fill="0000FF" w:val="clear"/>
          </w:tcPr>
          <w:p>
            <w:pPr>
              <w:pStyle w:val="Header"/>
              <w:tabs>
                <w:tab w:val="clear" w:pos="4320"/>
                <w:tab w:val="clear" w:pos="8640"/>
              </w:tabs>
              <w:spacing w:before="60" w:after="60"/>
              <w:jc w:val="center"/>
              <w:rPr>
                <w:color w:val="FFFFFF"/>
                <w:sz w:val="24"/>
              </w:rPr>
            </w:pPr>
            <w:r>
              <w:rPr>
                <w:b/>
                <w:smallCaps/>
                <w:color w:val="FFFFFF"/>
                <w:sz w:val="24"/>
              </w:rPr>
              <w:t>Examples of Financial Products Offered by Enron</w:t>
            </w:r>
          </w:p>
        </w:tc>
      </w:tr>
      <w:tr>
        <w:trPr/>
        <w:tc>
          <w:tcPr>
            <w:tcW w:w="3084" w:type="dxa"/>
            <w:tcBorders>
              <w:start w:val="single" w:sz="4" w:space="0" w:color="000000"/>
            </w:tcBorders>
          </w:tcPr>
          <w:p>
            <w:pPr>
              <w:pStyle w:val="BodyText2"/>
              <w:pBdr>
                <w:bottom w:val="single" w:sz="4" w:space="1" w:color="000000"/>
              </w:pBdr>
              <w:spacing w:before="120" w:after="120"/>
              <w:jc w:val="center"/>
              <w:rPr>
                <w:b/>
                <w:sz w:val="22"/>
              </w:rPr>
            </w:pPr>
            <w:r>
              <w:rPr>
                <w:b/>
                <w:sz w:val="22"/>
              </w:rPr>
              <w:t>Financial Fixed Price Hedge</w:t>
            </w:r>
          </w:p>
        </w:tc>
        <w:tc>
          <w:tcPr>
            <w:tcW w:w="3192" w:type="dxa"/>
            <w:tcBorders/>
          </w:tcPr>
          <w:p>
            <w:pPr>
              <w:pStyle w:val="BodyText2"/>
              <w:pBdr>
                <w:bottom w:val="single" w:sz="4" w:space="1" w:color="000000"/>
              </w:pBdr>
              <w:spacing w:before="120" w:after="0"/>
              <w:jc w:val="center"/>
              <w:rPr>
                <w:b/>
                <w:sz w:val="22"/>
              </w:rPr>
            </w:pPr>
            <w:r>
              <w:rPr>
                <w:b/>
                <w:sz w:val="22"/>
              </w:rPr>
              <w:t>Financial Collar</w:t>
            </w:r>
          </w:p>
        </w:tc>
        <w:tc>
          <w:tcPr>
            <w:tcW w:w="3084" w:type="dxa"/>
            <w:tcBorders>
              <w:end w:val="single" w:sz="4" w:space="0" w:color="000000"/>
            </w:tcBorders>
          </w:tcPr>
          <w:p>
            <w:pPr>
              <w:pStyle w:val="BodyText2"/>
              <w:pBdr>
                <w:bottom w:val="single" w:sz="4" w:space="1" w:color="000000"/>
              </w:pBdr>
              <w:spacing w:before="120" w:after="0"/>
              <w:jc w:val="center"/>
              <w:rPr>
                <w:b/>
                <w:sz w:val="22"/>
              </w:rPr>
            </w:pPr>
            <w:r>
              <w:rPr>
                <w:b/>
                <w:sz w:val="22"/>
              </w:rPr>
              <w:t>Financial Cap</w:t>
            </w:r>
          </w:p>
        </w:tc>
      </w:tr>
      <w:tr>
        <w:trPr>
          <w:trHeight w:val="2070" w:hRule="atLeast"/>
        </w:trPr>
        <w:tc>
          <w:tcPr>
            <w:tcW w:w="3084" w:type="dxa"/>
            <w:tcBorders>
              <w:start w:val="single" w:sz="4" w:space="0" w:color="000000"/>
              <w:bottom w:val="single" w:sz="4" w:space="0" w:color="000000"/>
            </w:tcBorders>
          </w:tcPr>
          <w:p>
            <w:pPr>
              <w:pStyle w:val="Header"/>
              <w:tabs>
                <w:tab w:val="clear" w:pos="4320"/>
                <w:tab w:val="clear" w:pos="8640"/>
              </w:tabs>
              <w:spacing w:before="0" w:after="120"/>
              <w:rPr/>
            </w:pPr>
            <w:r>
              <w:rPr/>
              <w:drawing>
                <wp:inline distT="0" distB="0" distL="0" distR="0">
                  <wp:extent cx="1817370" cy="1141730"/>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36"/>
                          <a:srcRect l="-5" t="-9" r="-5" b="-9"/>
                          <a:stretch>
                            <a:fillRect/>
                          </a:stretch>
                        </pic:blipFill>
                        <pic:spPr bwMode="auto">
                          <a:xfrm>
                            <a:off x="0" y="0"/>
                            <a:ext cx="1817370" cy="1141730"/>
                          </a:xfrm>
                          <a:prstGeom prst="rect">
                            <a:avLst/>
                          </a:prstGeom>
                          <a:noFill/>
                        </pic:spPr>
                      </pic:pic>
                    </a:graphicData>
                  </a:graphic>
                </wp:inline>
              </w:drawing>
            </w:r>
          </w:p>
        </w:tc>
        <w:tc>
          <w:tcPr>
            <w:tcW w:w="3192" w:type="dxa"/>
            <w:tcBorders>
              <w:bottom w:val="single" w:sz="4" w:space="0" w:color="000000"/>
            </w:tcBorders>
          </w:tcPr>
          <w:p>
            <w:pPr>
              <w:pStyle w:val="Header"/>
              <w:tabs>
                <w:tab w:val="clear" w:pos="4320"/>
                <w:tab w:val="clear" w:pos="8640"/>
              </w:tabs>
              <w:spacing w:before="0" w:after="120"/>
              <w:jc w:val="center"/>
              <w:rPr/>
            </w:pPr>
            <w:r>
              <w:rPr/>
              <w:drawing>
                <wp:inline distT="0" distB="0" distL="0" distR="0">
                  <wp:extent cx="1886585" cy="1068705"/>
                  <wp:effectExtent l="0" t="0" r="0" b="0"/>
                  <wp:docPr id="1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descr="" title=""/>
                          <pic:cNvPicPr>
                            <a:picLocks noChangeAspect="1" noChangeArrowheads="1"/>
                          </pic:cNvPicPr>
                        </pic:nvPicPr>
                        <pic:blipFill>
                          <a:blip r:embed="rId37"/>
                          <a:srcRect l="-7" t="-12" r="-7" b="-12"/>
                          <a:stretch>
                            <a:fillRect/>
                          </a:stretch>
                        </pic:blipFill>
                        <pic:spPr bwMode="auto">
                          <a:xfrm>
                            <a:off x="0" y="0"/>
                            <a:ext cx="1886585" cy="1068705"/>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Header"/>
              <w:tabs>
                <w:tab w:val="clear" w:pos="4320"/>
                <w:tab w:val="clear" w:pos="8640"/>
              </w:tabs>
              <w:spacing w:before="0" w:after="120"/>
              <w:ind w:start="-84" w:end="0"/>
              <w:rPr/>
            </w:pPr>
            <w:r>
              <w:rPr/>
              <w:drawing>
                <wp:inline distT="0" distB="0" distL="0" distR="0">
                  <wp:extent cx="1820545" cy="1099185"/>
                  <wp:effectExtent l="0" t="0" r="0" b="0"/>
                  <wp:docPr id="2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title=""/>
                          <pic:cNvPicPr>
                            <a:picLocks noChangeAspect="1" noChangeArrowheads="1"/>
                          </pic:cNvPicPr>
                        </pic:nvPicPr>
                        <pic:blipFill>
                          <a:blip r:embed="rId38"/>
                          <a:srcRect l="-6" t="-9" r="-6" b="-9"/>
                          <a:stretch>
                            <a:fillRect/>
                          </a:stretch>
                        </pic:blipFill>
                        <pic:spPr bwMode="auto">
                          <a:xfrm>
                            <a:off x="0" y="0"/>
                            <a:ext cx="1820545" cy="1099185"/>
                          </a:xfrm>
                          <a:prstGeom prst="rect">
                            <a:avLst/>
                          </a:prstGeom>
                          <a:noFill/>
                        </pic:spPr>
                      </pic:pic>
                    </a:graphicData>
                  </a:graphic>
                </wp:inline>
              </w:drawing>
            </w:r>
          </w:p>
        </w:tc>
      </w:tr>
    </w:tbl>
    <w:p>
      <w:pPr>
        <w:pStyle w:val="JustifiedBody"/>
        <w:spacing w:before="120" w:after="60"/>
        <w:rPr/>
      </w:pPr>
      <w:r>
        <w:rPr/>
        <w:t>While access to physical product is necessary to develop a physical market, other factors influence the emergence of a swap or financial derivative market.  The development of a financial market is dependent upon: (1) availability of sufficient pricing history to perform meaningful statistical analysis in order to determine risk parameters and to allow use of risk management tools; (2) an unbiased index reflective of the underlying physical market;  (3) sufficient liquidity that results in efficient pricing and attracts speculators who, in turn, increase liquidity; and (4) confidence in the creditworthiness of counterparties.</w:t>
      </w:r>
    </w:p>
    <w:p>
      <w:pPr>
        <w:pStyle w:val="JustifiedBody"/>
        <w:rPr/>
      </w:pPr>
      <w:r>
        <w:rPr/>
        <w:t>Enron has strict limits, set by its Board of Directors, regarding the amount of capital that may be exposed in its market-making.  Ideally, for every long commitment the Company establishes an offsetting short position, resulting in minimal exposure.  Rather than profiting from being on the “right” side of commodity price swings, in establishing offsetting positions the Company realizes a small spread.  Consequently, Enron’s intermediation activity is largely independent of direction or magnitude of commodity price swings.</w:t>
      </w:r>
    </w:p>
    <w:p>
      <w:pPr>
        <w:pStyle w:val="JustifiedBody"/>
        <w:numPr>
          <w:ilvl w:val="0"/>
          <w:numId w:val="0"/>
        </w:numPr>
        <w:spacing w:before="0" w:after="60"/>
        <w:outlineLvl w:val="0"/>
        <w:rPr>
          <w:b/>
          <w:smallCaps/>
          <w:sz w:val="24"/>
        </w:rPr>
      </w:pPr>
      <w:r>
        <w:rPr>
          <w:b/>
          <w:smallCaps/>
          <w:sz w:val="24"/>
        </w:rPr>
        <w:t>Transforming the Natural Gas Industry</w:t>
      </w:r>
    </w:p>
    <w:p>
      <w:pPr>
        <w:pStyle w:val="JustifiedBody"/>
        <w:rPr/>
      </w:pPr>
      <w:r>
        <w:rPr/>
        <w:t xml:space="preserve">Historically, the natural gas industry consisted of: (1) producers that extracted gas and processed it; (2) regulated gas pipeline companies that transported the gas across large distances; (3) regulated local distribution companies (“LDCs”) that purchased and distributed gas molecules to consumers; and (4) end users.  For natural gas consumers as well as for some producers, having stable and predictable gas prices and supplies is desirable.  Stable pricing created through intermediation generates predictable cash flows simplifying firms’ investment and pricing decisions.  Predictable supplies ensured that activities ranging from large industrial processes to home heating would not be interrupted by shortages.  </w:t>
      </w:r>
    </w:p>
    <w:p>
      <w:pPr>
        <w:pStyle w:val="JustifiedBody"/>
        <w:rPr/>
      </w:pPr>
      <w:r>
        <w:rPr/>
        <w:t xml:space="preserve">In the late 1980s, Enron was the nation’s largest integrated natural gas company, primarily involved in the physical side of the business, as a producer, transporter, marketer and consumer.  While Enron always sought to develop new natural gas services, in 1988 it began a strategy of providing financial products to the natural gas industry.  </w:t>
      </w:r>
    </w:p>
    <w:p>
      <w:pPr>
        <w:pStyle w:val="JustifiedBody"/>
        <w:rPr/>
      </w:pPr>
      <w:r>
        <w:rPr/>
        <w:t xml:space="preserve">Enron’s concept was to create a “gas bank” similar to a commercial bank.  The gas bank would intermediate between buyers and sellers of gas, with the spread between the selling price and the purchase price locked in as profit, much as a bank locks in a spread between deposits and loans.  Using this banking analogy, gas producers were depositors who put gas into the bank and consumers were borrowers.  Similar to a bank, Enron would pool supply commitments (deposits) to offer long-term commitments of 15 or more years.  </w:t>
      </w:r>
    </w:p>
    <w:p>
      <w:pPr>
        <w:pStyle w:val="JustifiedBody"/>
        <w:rPr/>
      </w:pPr>
      <w:r>
        <w:rPr/>
        <w:t>In order to write long-term, fixed-price supply agreements with users of natural gas, Enron had to obtain reliable long-term sources of fixed-price gas.  Enron developed innovative equity-like and debt-like contracts to secure future supply.  Concurrently, Enron developed more than 100 varieties of contracts for physical delivery.  Consumers could purchase guaranteed or non-guaranteed delivery contracts and Enron offered contracts with terms giving users the ability to take variable amounts of gas.  For example, gas consumers could use quantity options to ensure they would have a sufficient supply of natural gas in the event of a colder-than-anticipated winter.</w:t>
      </w:r>
    </w:p>
    <w:p>
      <w:pPr>
        <w:pStyle w:val="JustifiedBody"/>
        <w:rPr/>
      </w:pPr>
      <w:r>
        <w:rPr/>
        <w:t xml:space="preserve">Enron could only offer its diverse terms under which producers and consumers could buy and sell natural gas if it could manage its own risk as an intermediary.  As the “gas bank”, Enron had to contend with counterparty credit and price risk.  Enron used five basic “Enfolio”contracts that could be customized in a variety of ways, varying the quantity of gas delivered, the period of time covered by the contract, the index against which the prices would be set, the level at which prices would be truncated and other contractual terms.  By using these Enfolio contracts they could embed natural gas derivatives into simple standardized structures bearing an Enron promise. </w:t>
      </w:r>
    </w:p>
    <w:p>
      <w:pPr>
        <w:pStyle w:val="JustifiedBody"/>
        <w:rPr/>
      </w:pPr>
      <w:r>
        <w:rPr/>
        <w:t>Today, Enron conducts thousands of daily transactions touching every part of the energy market.  Producers, distributors, marketers, speculators and end-users rely on Enron to create a market.  By serving as an intermediary, Enron increases the overall efficiency of the natural gas market, resulting in lower prices, improved product delivery and more choice for the customers.</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color w:val="FFFFFF"/>
              </w:rPr>
            </w:pPr>
            <w:r>
              <w:rPr/>
              <w:t xml:space="preserve"> </w:t>
            </w:r>
            <w:r>
              <w:rPr>
                <w:b/>
                <w:smallCaps/>
                <w:color w:val="FFFFFF"/>
              </w:rPr>
              <w:t>Natural Gas Transformation</w:t>
            </w:r>
          </w:p>
        </w:tc>
      </w:tr>
      <w:tr>
        <w:trPr>
          <w:trHeight w:val="387" w:hRule="exact"/>
        </w:trPr>
        <w:tc>
          <w:tcPr>
            <w:tcW w:w="4680" w:type="dxa"/>
            <w:tcBorders>
              <w:start w:val="single" w:sz="4" w:space="0" w:color="000000"/>
            </w:tcBorders>
          </w:tcPr>
          <w:p>
            <w:pPr>
              <w:pStyle w:val="Normal"/>
              <w:pBdr>
                <w:bottom w:val="single" w:sz="4" w:space="1" w:color="000000"/>
              </w:pBdr>
              <w:spacing w:before="120" w:after="0"/>
              <w:jc w:val="center"/>
              <w:rPr>
                <w:b/>
                <w:sz w:val="22"/>
              </w:rPr>
            </w:pPr>
            <w:r>
              <w:rPr>
                <w:b/>
                <w:sz w:val="22"/>
              </w:rPr>
              <w:t>Old Economy</w:t>
            </w:r>
          </w:p>
        </w:tc>
        <w:tc>
          <w:tcPr>
            <w:tcW w:w="4680" w:type="dxa"/>
            <w:tcBorders>
              <w:end w:val="single" w:sz="4" w:space="0" w:color="000000"/>
            </w:tcBorders>
          </w:tcPr>
          <w:p>
            <w:pPr>
              <w:pStyle w:val="Normal"/>
              <w:pBdr>
                <w:bottom w:val="single" w:sz="4" w:space="1" w:color="000000"/>
              </w:pBdr>
              <w:spacing w:before="120" w:after="0"/>
              <w:jc w:val="center"/>
              <w:rPr>
                <w:b/>
                <w:sz w:val="22"/>
              </w:rPr>
            </w:pPr>
            <w:r>
              <w:rPr>
                <w:b/>
                <w:sz w:val="22"/>
              </w:rPr>
              <w:t>New Economy</w:t>
            </w:r>
          </w:p>
        </w:tc>
      </w:tr>
      <w:tr>
        <w:trPr>
          <w:trHeight w:val="3150" w:hRule="atLeast"/>
        </w:trPr>
        <w:tc>
          <w:tcPr>
            <w:tcW w:w="4680" w:type="dxa"/>
            <w:tcBorders>
              <w:start w:val="single" w:sz="4" w:space="0" w:color="000000"/>
              <w:bottom w:val="single" w:sz="4" w:space="0" w:color="000000"/>
            </w:tcBorders>
          </w:tcPr>
          <w:p>
            <w:pPr>
              <w:pStyle w:val="Normal"/>
              <w:spacing w:before="120" w:after="120"/>
              <w:jc w:val="center"/>
              <w:rPr/>
            </w:pPr>
            <w:r>
              <w:rPr/>
              <mc:AlternateContent>
                <mc:Choice Requires="wps">
                  <w:drawing>
                    <wp:anchor behindDoc="0" distT="0" distB="0" distL="114935" distR="114935" simplePos="0" locked="0" layoutInCell="0" allowOverlap="1" relativeHeight="38">
                      <wp:simplePos x="0" y="0"/>
                      <wp:positionH relativeFrom="margin">
                        <wp:posOffset>274320</wp:posOffset>
                      </wp:positionH>
                      <wp:positionV relativeFrom="paragraph">
                        <wp:posOffset>6350</wp:posOffset>
                      </wp:positionV>
                      <wp:extent cx="2468880" cy="0"/>
                      <wp:effectExtent l="0" t="5080" r="0" b="5080"/>
                      <wp:wrapNone/>
                      <wp:docPr id="21"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0.5pt" to="215.95pt,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9">
                      <wp:simplePos x="0" y="0"/>
                      <wp:positionH relativeFrom="margin">
                        <wp:posOffset>3200400</wp:posOffset>
                      </wp:positionH>
                      <wp:positionV relativeFrom="paragraph">
                        <wp:posOffset>6350</wp:posOffset>
                      </wp:positionV>
                      <wp:extent cx="2468880" cy="0"/>
                      <wp:effectExtent l="0" t="5080" r="0" b="5080"/>
                      <wp:wrapNone/>
                      <wp:docPr id="22"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0.5pt" to="446.35pt,0.5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786130" cy="2044065"/>
                  <wp:effectExtent l="0" t="0" r="0" b="0"/>
                  <wp:docPr id="2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descr="" title=""/>
                          <pic:cNvPicPr>
                            <a:picLocks noChangeAspect="1" noChangeArrowheads="1"/>
                          </pic:cNvPicPr>
                        </pic:nvPicPr>
                        <pic:blipFill>
                          <a:blip r:embed="rId39"/>
                          <a:srcRect l="-28" t="-11" r="-28" b="-11"/>
                          <a:stretch>
                            <a:fillRect/>
                          </a:stretch>
                        </pic:blipFill>
                        <pic:spPr bwMode="auto">
                          <a:xfrm>
                            <a:off x="0" y="0"/>
                            <a:ext cx="786130" cy="2044065"/>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Header"/>
              <w:tabs>
                <w:tab w:val="clear" w:pos="4320"/>
                <w:tab w:val="clear" w:pos="8640"/>
              </w:tabs>
              <w:spacing w:before="120" w:after="120"/>
              <w:jc w:val="center"/>
              <w:rPr/>
            </w:pPr>
            <w:r>
              <w:rPr/>
              <w:drawing>
                <wp:inline distT="0" distB="0" distL="0" distR="0">
                  <wp:extent cx="2478405" cy="2230120"/>
                  <wp:effectExtent l="0" t="0" r="0" b="0"/>
                  <wp:docPr id="2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 descr="" title=""/>
                          <pic:cNvPicPr>
                            <a:picLocks noChangeAspect="1" noChangeArrowheads="1"/>
                          </pic:cNvPicPr>
                        </pic:nvPicPr>
                        <pic:blipFill>
                          <a:blip r:embed="rId40"/>
                          <a:srcRect l="-8" t="-9" r="-8" b="-9"/>
                          <a:stretch>
                            <a:fillRect/>
                          </a:stretch>
                        </pic:blipFill>
                        <pic:spPr bwMode="auto">
                          <a:xfrm>
                            <a:off x="0" y="0"/>
                            <a:ext cx="2478405" cy="2230120"/>
                          </a:xfrm>
                          <a:prstGeom prst="rect">
                            <a:avLst/>
                          </a:prstGeom>
                          <a:noFill/>
                        </pic:spPr>
                      </pic:pic>
                    </a:graphicData>
                  </a:graphic>
                </wp:inline>
              </w:drawing>
            </w:r>
          </w:p>
        </w:tc>
      </w:tr>
    </w:tbl>
    <w:p>
      <w:pPr>
        <w:pStyle w:val="JustifiedBody"/>
        <w:spacing w:before="120" w:after="120"/>
        <w:rPr/>
      </w:pPr>
      <w:r>
        <w:rPr/>
        <w:t>See Appendix D of this Memorandum for further discussion of Enron’s transformation of the U.S. natural gas industry.</w:t>
      </w:r>
    </w:p>
    <w:p>
      <w:pPr>
        <w:pStyle w:val="JustifiedBody"/>
        <w:numPr>
          <w:ilvl w:val="0"/>
          <w:numId w:val="0"/>
        </w:numPr>
        <w:spacing w:before="60" w:after="60"/>
        <w:outlineLvl w:val="0"/>
        <w:rPr>
          <w:b/>
          <w:smallCaps/>
          <w:sz w:val="24"/>
        </w:rPr>
      </w:pPr>
      <w:r>
        <w:rPr>
          <w:b/>
          <w:smallCaps/>
          <w:sz w:val="24"/>
        </w:rPr>
        <w:t>EnronOnline</w:t>
      </w:r>
    </w:p>
    <w:p>
      <w:pPr>
        <w:pStyle w:val="JustifiedBody"/>
        <w:rPr/>
      </w:pPr>
      <w:r>
        <w:rPr/>
        <w:t>Enron believes it possesses a primary competitive advantage through its ability to identify opportunities early and react before competitors recognize the opportunity.  Already a market leader, transacting more than [</w:t>
      </w:r>
      <w:r>
        <w:rPr>
          <w:highlight w:val="yellow"/>
        </w:rPr>
        <w:t>20%]</w:t>
      </w:r>
      <w:r>
        <w:rPr/>
        <w:t xml:space="preserve"> of the U.S.’s natural gas and electricity, Enron recognized the need to adapt to a changing environment.  On November 29, 1999, the Company launched EnronOnline, an Internet-based e-marketplace for wholesale energy and other commodities.  Enron recognized that the Internet could broaden its distribution as an intermediary of commodity products and could make it more efficient for market participants to transact.  Enron believes that EnronOnline is the only global principal-based system that allows users to view real-time prices for a range of energy and other commodities and transact instantaneously.  </w:t>
      </w:r>
    </w:p>
    <w:p>
      <w:pPr>
        <w:pStyle w:val="JustifiedBody"/>
        <w:rPr/>
      </w:pPr>
      <w:r>
        <w:rPr/>
        <w:t>The unique technology behind EnronOnline is primarily based in the proprietary stack manager software that Enron has developed to allow real-time price updates to be displayed.  The stack manager is a system that allows traders to manipulate the prices displayed based on activity on the site.  The system can be set up to increase or decrease posted bid/offers by a certain dollar amount in response to a sale or purchase of a specific product.  The system also has capability to link several products and adjust prices with the movement of any other product.  Traders continually monitor these movements and can override or change a price at any time and the site will be automatically updated, thereby providing a liquid market at all times for the customers.  Finally, the system is also capable of customizing some trades by combining the appropriate underlying transactions to satisfy the request of the purchaser.</w:t>
      </w:r>
    </w:p>
    <w:tbl>
      <w:tblPr>
        <w:tblW w:w="9360" w:type="dxa"/>
        <w:jc w:val="start"/>
        <w:tblInd w:w="108" w:type="dxa"/>
        <w:tblLayout w:type="fixed"/>
        <w:tblCellMar>
          <w:top w:w="0" w:type="dxa"/>
          <w:start w:w="108" w:type="dxa"/>
          <w:bottom w:w="0" w:type="dxa"/>
          <w:end w:w="108" w:type="dxa"/>
        </w:tblCellMar>
      </w:tblPr>
      <w:tblGrid>
        <w:gridCol w:w="4050"/>
        <w:gridCol w:w="531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EnronOnline Statistics</w:t>
            </w:r>
          </w:p>
        </w:tc>
      </w:tr>
      <w:tr>
        <w:trPr/>
        <w:tc>
          <w:tcPr>
            <w:tcW w:w="4050" w:type="dxa"/>
            <w:tcBorders>
              <w:top w:val="single" w:sz="4" w:space="0" w:color="000000"/>
              <w:start w:val="single" w:sz="4" w:space="0" w:color="000000"/>
            </w:tcBorders>
          </w:tcPr>
          <w:p>
            <w:pPr>
              <w:pStyle w:val="JustifiedBody"/>
              <w:tabs>
                <w:tab w:val="clear" w:pos="720"/>
                <w:tab w:val="right" w:pos="3042" w:leader="none"/>
              </w:tabs>
              <w:spacing w:before="240" w:after="60"/>
              <w:jc w:val="start"/>
              <w:rPr>
                <w:sz w:val="18"/>
              </w:rPr>
            </w:pPr>
            <w:r>
              <w:rPr>
                <w:rStyle w:val="CommentReference"/>
                <w:vanish w:val="false"/>
              </w:rPr>
              <w:commentReference w:id="0"/>
            </w:r>
            <w:r>
              <w:rPr>
                <w:rStyle w:val="CommentReference"/>
                <w:vanish w:val="false"/>
              </w:rPr>
              <w:commentReference w:id="1"/>
            </w:r>
            <w:r>
              <w:rPr>
                <w:rStyle w:val="CommentReference"/>
                <w:vanish w:val="false"/>
              </w:rPr>
              <w:commentReference w:id="2"/>
            </w:r>
            <w:r>
              <w:rPr>
                <w:sz w:val="18"/>
              </w:rPr>
              <w:t xml:space="preserve"> </w:t>
            </w:r>
            <w:r>
              <w:rPr>
                <w:vanish/>
                <w:color w:val="0000FF"/>
                <w:sz w:val="18"/>
              </w:rPr>
              <w:t>Excel Chart was edited as picture</w:t>
            </w:r>
          </w:p>
        </w:tc>
        <w:tc>
          <w:tcPr>
            <w:tcW w:w="5310" w:type="dxa"/>
            <w:tcBorders>
              <w:top w:val="single" w:sz="4" w:space="0" w:color="000000"/>
              <w:end w:val="single" w:sz="4" w:space="0" w:color="000000"/>
            </w:tcBorders>
          </w:tcPr>
          <w:p>
            <w:pPr>
              <w:pStyle w:val="Normal"/>
              <w:numPr>
                <w:ilvl w:val="0"/>
                <w:numId w:val="0"/>
              </w:numPr>
              <w:spacing w:before="120" w:after="0"/>
              <w:outlineLvl w:val="0"/>
              <w:rPr>
                <w:b/>
                <w:sz w:val="22"/>
              </w:rPr>
            </w:pPr>
            <w:r>
              <w:rPr>
                <w:b/>
                <w:sz w:val="22"/>
              </w:rPr>
              <w:t>Leading eCommerce Businesses vs. EnronOnline</w:t>
            </w:r>
          </w:p>
          <w:p>
            <w:pPr>
              <w:pStyle w:val="Normal"/>
              <w:numPr>
                <w:ilvl w:val="0"/>
                <w:numId w:val="0"/>
              </w:numPr>
              <w:pBdr>
                <w:bottom w:val="single" w:sz="4" w:space="0" w:color="000000"/>
              </w:pBdr>
              <w:ind w:end="252"/>
              <w:jc w:val="center"/>
              <w:outlineLvl w:val="0"/>
              <w:rPr>
                <w:i/>
                <w:i/>
                <w:sz w:val="18"/>
              </w:rPr>
            </w:pPr>
            <w:r>
              <w:rPr>
                <w:i/>
                <w:sz w:val="18"/>
              </w:rPr>
              <w:t>Value of Goods Transacted Through Each Site</w:t>
            </w:r>
          </w:p>
        </w:tc>
      </w:tr>
      <w:tr>
        <w:trPr>
          <w:trHeight w:val="2709" w:hRule="atLeast"/>
        </w:trPr>
        <w:tc>
          <w:tcPr>
            <w:tcW w:w="4050" w:type="dxa"/>
            <w:tcBorders>
              <w:start w:val="single" w:sz="4" w:space="0" w:color="000000"/>
            </w:tcBorders>
          </w:tcPr>
          <w:p>
            <w:pPr>
              <w:pStyle w:val="JustifiedBody"/>
              <w:tabs>
                <w:tab w:val="clear" w:pos="720"/>
                <w:tab w:val="right" w:pos="3042" w:leader="none"/>
              </w:tabs>
              <w:spacing w:before="120" w:after="0"/>
              <w:jc w:val="start"/>
              <w:rPr>
                <w:sz w:val="18"/>
              </w:rPr>
            </w:pPr>
            <w:r>
              <w:rPr>
                <w:sz w:val="18"/>
              </w:rPr>
              <w:t>Announcement date:</w:t>
              <w:tab/>
              <w:t>10/26/99</w:t>
            </w:r>
          </w:p>
          <w:p>
            <w:pPr>
              <w:pStyle w:val="JustifiedBody"/>
              <w:tabs>
                <w:tab w:val="clear" w:pos="720"/>
                <w:tab w:val="right" w:pos="3042" w:leader="none"/>
              </w:tabs>
              <w:spacing w:before="60" w:after="0"/>
              <w:jc w:val="start"/>
              <w:rPr>
                <w:sz w:val="18"/>
              </w:rPr>
            </w:pPr>
            <w:r>
              <w:rPr>
                <w:sz w:val="18"/>
              </w:rPr>
              <w:t>Launch Date:</w:t>
              <w:tab/>
              <w:t>11/29/99</w:t>
            </w:r>
          </w:p>
          <w:p>
            <w:pPr>
              <w:pStyle w:val="JustifiedBody"/>
              <w:tabs>
                <w:tab w:val="clear" w:pos="720"/>
                <w:tab w:val="right" w:pos="3042" w:leader="none"/>
              </w:tabs>
              <w:spacing w:before="60" w:after="0"/>
              <w:jc w:val="start"/>
              <w:rPr>
                <w:sz w:val="18"/>
              </w:rPr>
            </w:pPr>
            <w:r>
              <w:rPr>
                <w:sz w:val="18"/>
              </w:rPr>
              <w:t>Development Time:</w:t>
              <w:tab/>
              <w:t>7 Months</w:t>
            </w:r>
          </w:p>
          <w:p>
            <w:pPr>
              <w:pStyle w:val="JustifiedBody"/>
              <w:tabs>
                <w:tab w:val="clear" w:pos="720"/>
                <w:tab w:val="right" w:pos="3042" w:leader="none"/>
              </w:tabs>
              <w:spacing w:before="60" w:after="0"/>
              <w:jc w:val="start"/>
              <w:rPr>
                <w:sz w:val="18"/>
              </w:rPr>
            </w:pPr>
            <w:r>
              <w:rPr>
                <w:sz w:val="18"/>
              </w:rPr>
              <w:t>Products Offered:</w:t>
              <w:tab/>
              <w:t>850</w:t>
            </w:r>
          </w:p>
          <w:p>
            <w:pPr>
              <w:pStyle w:val="JustifiedBody"/>
              <w:tabs>
                <w:tab w:val="clear" w:pos="720"/>
                <w:tab w:val="right" w:pos="3042" w:leader="none"/>
              </w:tabs>
              <w:spacing w:before="60" w:after="0"/>
              <w:jc w:val="start"/>
              <w:rPr>
                <w:sz w:val="18"/>
              </w:rPr>
            </w:pPr>
            <w:r>
              <w:rPr>
                <w:sz w:val="18"/>
              </w:rPr>
              <w:t>Currencies Traded-in:</w:t>
              <w:tab/>
              <w:t>13</w:t>
            </w:r>
          </w:p>
          <w:p>
            <w:pPr>
              <w:pStyle w:val="JustifiedBody"/>
              <w:tabs>
                <w:tab w:val="clear" w:pos="720"/>
                <w:tab w:val="right" w:pos="3042" w:leader="none"/>
              </w:tabs>
              <w:spacing w:before="60" w:after="0"/>
              <w:jc w:val="start"/>
              <w:rPr>
                <w:sz w:val="18"/>
              </w:rPr>
            </w:pPr>
            <w:r>
              <w:rPr>
                <w:sz w:val="18"/>
              </w:rPr>
              <w:t>Average Daily Transactions:</w:t>
              <w:tab/>
              <w:t>2,000</w:t>
            </w:r>
          </w:p>
          <w:p>
            <w:pPr>
              <w:pStyle w:val="JustifiedBody"/>
              <w:tabs>
                <w:tab w:val="clear" w:pos="720"/>
                <w:tab w:val="right" w:pos="3042" w:leader="none"/>
              </w:tabs>
              <w:spacing w:before="60" w:after="120"/>
              <w:jc w:val="start"/>
              <w:rPr>
                <w:sz w:val="18"/>
              </w:rPr>
            </w:pPr>
            <w:r>
              <w:rPr>
                <w:sz w:val="18"/>
              </w:rPr>
              <w:t>Daily Notional Value:</w:t>
              <w:tab/>
              <w:t>$1 billion</w:t>
            </w:r>
          </w:p>
          <w:p>
            <w:pPr>
              <w:pStyle w:val="JustifiedBody"/>
              <w:tabs>
                <w:tab w:val="clear" w:pos="720"/>
                <w:tab w:val="right" w:pos="3654" w:leader="none"/>
              </w:tabs>
              <w:spacing w:before="60" w:after="0"/>
              <w:ind w:hanging="162" w:start="162" w:end="-18"/>
              <w:jc w:val="start"/>
              <w:rPr>
                <w:sz w:val="18"/>
              </w:rPr>
            </w:pPr>
            <w:r>
              <w:rPr>
                <w:sz w:val="18"/>
              </w:rPr>
            </w:r>
          </w:p>
        </w:tc>
        <w:tc>
          <w:tcPr>
            <w:tcW w:w="5310" w:type="dxa"/>
            <w:tcBorders>
              <w:end w:val="single" w:sz="4" w:space="0" w:color="000000"/>
            </w:tcBorders>
            <w:vAlign w:val="center"/>
          </w:tcPr>
          <w:p>
            <w:pPr>
              <w:pStyle w:val="JustifiedBody"/>
              <w:tabs>
                <w:tab w:val="clear" w:pos="720"/>
                <w:tab w:val="left" w:pos="2052" w:leader="none"/>
              </w:tabs>
              <w:spacing w:before="0" w:after="60"/>
              <w:ind w:start="-72" w:end="0"/>
              <w:jc w:val="center"/>
              <w:rPr>
                <w:sz w:val="2"/>
              </w:rPr>
            </w:pPr>
            <w:r>
              <w:rPr/>
              <w:drawing>
                <wp:inline distT="0" distB="0" distL="0" distR="0">
                  <wp:extent cx="3234055" cy="1638300"/>
                  <wp:effectExtent l="0" t="0" r="0" b="0"/>
                  <wp:docPr id="2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 descr="" title=""/>
                          <pic:cNvPicPr>
                            <a:picLocks noChangeAspect="1" noChangeArrowheads="1"/>
                          </pic:cNvPicPr>
                        </pic:nvPicPr>
                        <pic:blipFill>
                          <a:blip r:embed="rId41"/>
                          <a:srcRect l="-10" t="-20" r="-10" b="-20"/>
                          <a:stretch>
                            <a:fillRect/>
                          </a:stretch>
                        </pic:blipFill>
                        <pic:spPr bwMode="auto">
                          <a:xfrm>
                            <a:off x="0" y="0"/>
                            <a:ext cx="3234055" cy="1638300"/>
                          </a:xfrm>
                          <a:prstGeom prst="rect">
                            <a:avLst/>
                          </a:prstGeom>
                          <a:noFill/>
                        </pic:spPr>
                      </pic:pic>
                    </a:graphicData>
                  </a:graphic>
                </wp:inline>
              </w:drawing>
            </w:r>
          </w:p>
        </w:tc>
      </w:tr>
      <w:tr>
        <w:trPr>
          <w:trHeight w:val="243" w:hRule="atLeast"/>
        </w:trPr>
        <w:tc>
          <w:tcPr>
            <w:tcW w:w="9360" w:type="dxa"/>
            <w:gridSpan w:val="2"/>
            <w:tcBorders>
              <w:start w:val="single" w:sz="4" w:space="0" w:color="000000"/>
              <w:bottom w:val="single" w:sz="4" w:space="0" w:color="000000"/>
              <w:end w:val="single" w:sz="4" w:space="0" w:color="000000"/>
            </w:tcBorders>
          </w:tcPr>
          <w:p>
            <w:pPr>
              <w:pStyle w:val="JustifiedBody"/>
              <w:tabs>
                <w:tab w:val="clear" w:pos="720"/>
                <w:tab w:val="left" w:pos="2052" w:leader="none"/>
              </w:tabs>
              <w:spacing w:before="40" w:after="0"/>
              <w:ind w:hanging="259" w:start="259" w:end="0"/>
              <w:jc w:val="start"/>
              <w:rPr>
                <w:i/>
                <w:i/>
                <w:sz w:val="16"/>
              </w:rPr>
            </w:pPr>
            <w:r>
              <mc:AlternateContent>
                <mc:Choice Requires="wps">
                  <w:drawing>
                    <wp:anchor behindDoc="0" distT="0" distB="0" distL="114935" distR="114935" simplePos="0" locked="0" layoutInCell="0" allowOverlap="1" relativeHeight="40">
                      <wp:simplePos x="0" y="0"/>
                      <wp:positionH relativeFrom="margin">
                        <wp:posOffset>85090</wp:posOffset>
                      </wp:positionH>
                      <wp:positionV relativeFrom="paragraph">
                        <wp:posOffset>-2540</wp:posOffset>
                      </wp:positionV>
                      <wp:extent cx="2011680" cy="0"/>
                      <wp:effectExtent l="0" t="3175" r="0" b="3175"/>
                      <wp:wrapNone/>
                      <wp:docPr id="26" name=""/>
                      <a:graphic xmlns:a="http://schemas.openxmlformats.org/drawingml/2006/main">
                        <a:graphicData uri="http://schemas.microsoft.com/office/word/2010/wordprocessingShape">
                          <wps:wsp>
                            <wps:cNvSpPr/>
                            <wps:spPr>
                              <a:xfrm>
                                <a:off x="0" y="0"/>
                                <a:ext cx="2011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7pt,-0.2pt" to="165.05pt,-0.2pt" stroked="t" o:allowincell="f" style="position:absolute;mso-position-horizontal-relative:margin">
                      <v:stroke color="black" weight="6480" joinstyle="miter" endcap="flat"/>
                      <v:fill o:detectmouseclick="t" on="false"/>
                      <w10:wrap type="none"/>
                    </v:line>
                  </w:pict>
                </mc:Fallback>
              </mc:AlternateContent>
            </w:r>
            <w:r>
              <w:rPr>
                <w:i/>
                <w:sz w:val="16"/>
              </w:rPr>
              <w:t>(a)</w:t>
              <w:tab/>
              <w:t>Company estimates of  1999 commerce transacted by: Altrade, Intel, Dell.com, Cisco, eBay, Amazon.com, and FreeMarkets</w:t>
            </w:r>
          </w:p>
          <w:p>
            <w:pPr>
              <w:pStyle w:val="JustifiedBody"/>
              <w:tabs>
                <w:tab w:val="clear" w:pos="720"/>
                <w:tab w:val="left" w:pos="2052" w:leader="none"/>
              </w:tabs>
              <w:spacing w:before="0" w:after="20"/>
              <w:ind w:hanging="252" w:start="252" w:end="0"/>
              <w:jc w:val="start"/>
              <w:rPr>
                <w:sz w:val="16"/>
              </w:rPr>
            </w:pPr>
            <w:r>
              <w:rPr>
                <w:i/>
                <w:sz w:val="16"/>
              </w:rPr>
              <w:t>(b)</w:t>
              <w:tab/>
              <w:t>EnronOnline represents notional volume YTD, as of 6/30/00.</w:t>
              <w:tab/>
            </w:r>
          </w:p>
        </w:tc>
      </w:tr>
    </w:tbl>
    <w:p>
      <w:pPr>
        <w:pStyle w:val="JustifiedBody"/>
        <w:spacing w:before="120" w:after="120"/>
        <w:rPr/>
      </w:pPr>
      <w:r>
        <w:rPr/>
        <w:t xml:space="preserve">Demand and supply for natural gas and electricity fluctuate as a result of external factors such as weather and inefficiencies in infrastructure.  Real-time price information is critical to executing short-term energy contracts, and eCommerce enhances the procurement process, which traditionally has been labor intensive and time consuming.  While Enron’s off-line services provided efficient market-making, by establishing an online presence the Company is able to provide market participants with clearly defined rules, convenient price discovery and open market information.  The ease and efficiency of the Internet encourages more participants to transact through a single marketplace rather than relying on a supplier relationship that does not ensure that the best price is obtained. </w:t>
      </w:r>
    </w:p>
    <w:p>
      <w:pPr>
        <w:pStyle w:val="JustifiedBody"/>
        <w:rPr/>
      </w:pPr>
      <w:r>
        <w:rPr/>
        <w:t xml:space="preserve">The commodities that trade on EnronOnline include: (1) U.S., Canadian and European natural gas; (2) U.S., Australian, and European power; (3) U.S. and European coal; (4) plastics; (5) pulp and paper; (6) emissions credits; (7) LPGs; (8) petrochemicals; (9) oil and refined products; (10) U.S. and European weather derivatives; (11) credit derivatives; (12) bandwidth; (13) Asian crude and products; (14) pipeline capacity; and (15) European virtual storage.  EnronOnline does not simply match buyers and sellers, but acts as a principal, buying and selling for its own account.  The number of transactions Enron executes has grown significantly since EnronOnline was launched on November 29, 1999. </w:t>
      </w:r>
    </w:p>
    <w:tbl>
      <w:tblPr>
        <w:tblW w:w="14023" w:type="dxa"/>
        <w:jc w:val="start"/>
        <w:tblInd w:w="-4663" w:type="dxa"/>
        <w:tblLayout w:type="fixed"/>
        <w:tblCellMar>
          <w:top w:w="0" w:type="dxa"/>
          <w:start w:w="0" w:type="dxa"/>
          <w:bottom w:w="0" w:type="dxa"/>
          <w:end w:w="0" w:type="dxa"/>
        </w:tblCellMar>
      </w:tblPr>
      <w:tblGrid>
        <w:gridCol w:w="4663"/>
        <w:gridCol w:w="4687"/>
        <w:gridCol w:w="4673"/>
      </w:tblGrid>
      <w:tr>
        <w:trPr>
          <w:trHeight w:val="400" w:hRule="exact"/>
        </w:trPr>
        <w:tc>
          <w:tcPr>
            <w:tcW w:w="4663" w:type="dxa"/>
            <w:tcBorders/>
          </w:tcPr>
          <w:p>
            <w:pPr>
              <w:pStyle w:val="TableHeading"/>
              <w:rPr/>
            </w:pPr>
            <w:r>
              <w:rPr/>
            </w:r>
          </w:p>
        </w:tc>
        <w:tc>
          <w:tcPr>
            <w:tcW w:w="9360" w:type="dxa"/>
            <w:gridSpan w:val="2"/>
            <w:tcBorders>
              <w:top w:val="single" w:sz="4" w:space="0" w:color="000000"/>
              <w:start w:val="single" w:sz="4" w:space="0" w:color="000000"/>
              <w:end w:val="single" w:sz="4" w:space="0" w:color="000000"/>
            </w:tcBorders>
            <w:shd w:fill="0000FF" w:val="clear"/>
            <w:tcMar>
              <w:start w:w="108" w:type="dxa"/>
              <w:end w:w="108" w:type="dxa"/>
            </w:tcMar>
          </w:tcPr>
          <w:p>
            <w:pPr>
              <w:pStyle w:val="JustifiedBody"/>
              <w:spacing w:before="60" w:after="60"/>
              <w:ind w:start="360" w:end="0"/>
              <w:jc w:val="center"/>
              <w:rPr>
                <w:color w:val="FFFFFF"/>
              </w:rPr>
            </w:pPr>
            <w:r>
              <w:rPr>
                <w:b/>
                <w:smallCaps/>
                <w:color w:val="FFFFFF"/>
              </w:rPr>
              <w:t>EnronOnline Transaction Volume</w:t>
            </w:r>
          </w:p>
        </w:tc>
      </w:tr>
      <w:tr>
        <w:trPr>
          <w:trHeight w:val="432" w:hRule="atLeast"/>
        </w:trPr>
        <w:tc>
          <w:tcPr>
            <w:tcW w:w="4663" w:type="dxa"/>
            <w:tcBorders/>
          </w:tcPr>
          <w:p>
            <w:pPr>
              <w:pStyle w:val="Normal"/>
              <w:rPr>
                <w:color w:val="FFFFFF"/>
              </w:rPr>
            </w:pPr>
            <w:r>
              <w:rPr>
                <w:color w:val="FFFFFF"/>
              </w:rPr>
            </w:r>
          </w:p>
        </w:tc>
        <w:tc>
          <w:tcPr>
            <w:tcW w:w="9360" w:type="dxa"/>
            <w:gridSpan w:val="2"/>
            <w:tcBorders>
              <w:start w:val="single" w:sz="4" w:space="0" w:color="000000"/>
              <w:end w:val="single" w:sz="4" w:space="0" w:color="000000"/>
            </w:tcBorders>
            <w:tcMar>
              <w:start w:w="108" w:type="dxa"/>
              <w:end w:w="108" w:type="dxa"/>
            </w:tcMar>
            <w:vAlign w:val="center"/>
          </w:tcPr>
          <w:p>
            <w:pPr>
              <w:pStyle w:val="Normal"/>
              <w:pBdr>
                <w:bottom w:val="single" w:sz="4" w:space="1" w:color="000000"/>
              </w:pBdr>
              <w:ind w:start="162" w:end="72"/>
              <w:jc w:val="center"/>
              <w:rPr/>
            </w:pPr>
            <w:r>
              <w:rPr>
                <w:b/>
                <w:sz w:val="22"/>
              </w:rPr>
              <w:t xml:space="preserve">Average Weekly Volume </w:t>
            </w:r>
            <w:r>
              <w:rPr>
                <w:b/>
                <w:vanish/>
                <w:color w:val="FF0000"/>
                <w:sz w:val="22"/>
              </w:rPr>
              <w:t>excel edited as a picture</w:t>
            </w:r>
          </w:p>
        </w:tc>
      </w:tr>
      <w:tr>
        <w:trPr>
          <w:trHeight w:val="2907" w:hRule="exact"/>
        </w:trPr>
        <w:tc>
          <w:tcPr>
            <w:tcW w:w="9350" w:type="dxa"/>
            <w:gridSpan w:val="2"/>
            <w:tcBorders>
              <w:start w:val="single" w:sz="4" w:space="0" w:color="000000"/>
              <w:bottom w:val="single" w:sz="4" w:space="0" w:color="000000"/>
              <w:end w:val="single" w:sz="4" w:space="0" w:color="000000"/>
            </w:tcBorders>
            <w:tcMar>
              <w:start w:w="108" w:type="dxa"/>
              <w:end w:w="108" w:type="dxa"/>
            </w:tcMar>
          </w:tcPr>
          <w:p>
            <w:pPr>
              <w:pStyle w:val="Normal"/>
              <w:spacing w:before="60" w:after="0"/>
              <w:jc w:val="center"/>
              <w:rPr/>
            </w:pPr>
            <w:r>
              <w:rPr/>
              <w:drawing>
                <wp:inline distT="0" distB="0" distL="0" distR="0">
                  <wp:extent cx="5794375" cy="1774825"/>
                  <wp:effectExtent l="0" t="0" r="0" b="0"/>
                  <wp:docPr id="2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 descr="" title=""/>
                          <pic:cNvPicPr>
                            <a:picLocks noChangeAspect="1" noChangeArrowheads="1"/>
                          </pic:cNvPicPr>
                        </pic:nvPicPr>
                        <pic:blipFill>
                          <a:blip r:embed="rId42"/>
                          <a:srcRect l="-6" t="-20" r="-6" b="-20"/>
                          <a:stretch>
                            <a:fillRect/>
                          </a:stretch>
                        </pic:blipFill>
                        <pic:spPr bwMode="auto">
                          <a:xfrm>
                            <a:off x="0" y="0"/>
                            <a:ext cx="5794375" cy="1774825"/>
                          </a:xfrm>
                          <a:prstGeom prst="rect">
                            <a:avLst/>
                          </a:prstGeom>
                          <a:noFill/>
                        </pic:spPr>
                      </pic:pic>
                    </a:graphicData>
                  </a:graphic>
                </wp:inline>
              </w:drawing>
            </w:r>
          </w:p>
        </w:tc>
        <w:tc>
          <w:tcPr>
            <w:tcW w:w="4673" w:type="dxa"/>
            <w:tcBorders/>
          </w:tcPr>
          <w:p>
            <w:pPr>
              <w:pStyle w:val="Normal"/>
              <w:snapToGrid w:val="false"/>
              <w:rPr/>
            </w:pPr>
            <w:r>
              <w:rPr/>
            </w:r>
          </w:p>
        </w:tc>
      </w:tr>
    </w:tbl>
    <w:p>
      <w:pPr>
        <w:pStyle w:val="JustifiedBody"/>
        <w:spacing w:before="120" w:after="120"/>
        <w:rPr/>
      </w:pPr>
      <w:r>
        <w:rPr/>
        <w:t>By creating an efficient marketplace, Enron increases the volume of transactions.  Trading is not a simple matter of companies buying and selling what is needed.  Companies buy futures to hedge against price fluctuations and a growing number of market participants transact purely for profit, similar to stock traders, having no use for the actual product.  Enron’s management believes that crude oil is traded approximately ten times before it is actually consumed, and for natural gas, the ratio is believed to be at least ten to one.  This velocity will likely continue to grow as online trading gains even greater acceptance.</w:t>
      </w:r>
    </w:p>
    <w:p>
      <w:pPr>
        <w:sectPr>
          <w:headerReference w:type="default" r:id="rId43"/>
          <w:headerReference w:type="first" r:id="rId44"/>
          <w:footerReference w:type="default" r:id="rId45"/>
          <w:footerReference w:type="first" r:id="rId46"/>
          <w:type w:val="nextPage"/>
          <w:pgSz w:w="12240" w:h="15840"/>
          <w:pgMar w:left="1440" w:right="1440" w:gutter="0" w:header="432" w:top="1350" w:footer="720" w:bottom="810"/>
          <w:pgNumType w:fmt="decimal"/>
          <w:formProt w:val="false"/>
          <w:textDirection w:val="lrTb"/>
          <w:docGrid w:type="default" w:linePitch="360" w:charSpace="0"/>
        </w:sectPr>
      </w:pPr>
    </w:p>
    <w:p>
      <w:pPr>
        <w:pStyle w:val="JustifiedBody"/>
        <w:numPr>
          <w:ilvl w:val="0"/>
          <w:numId w:val="0"/>
        </w:numPr>
        <w:rPr>
          <w:b/>
          <w:smallCaps/>
          <w:sz w:val="24"/>
        </w:rPr>
      </w:pPr>
      <w:r>
        <w:rPr>
          <w:b/>
          <w:smallCaps/>
          <w:sz w:val="24"/>
        </w:rPr>
      </w:r>
    </w:p>
    <w:p>
      <w:pPr>
        <w:sectPr>
          <w:type w:val="continuous"/>
          <w:pgSz w:w="12240" w:h="15840"/>
          <w:pgMar w:left="1440" w:right="1440" w:gutter="0" w:header="432" w:top="1350" w:footer="720" w:bottom="810"/>
          <w:formProt w:val="false"/>
          <w:textDirection w:val="lrTb"/>
          <w:docGrid w:type="default" w:linePitch="360" w:charSpace="0"/>
        </w:sectPr>
      </w:pPr>
    </w:p>
    <w:p>
      <w:pPr>
        <w:pStyle w:val="Heading4"/>
        <w:spacing w:lineRule="auto" w:line="240" w:before="60" w:after="60"/>
        <w:ind w:hanging="0" w:start="0"/>
        <w:rPr>
          <w:smallCaps/>
        </w:rPr>
      </w:pPr>
      <w:bookmarkStart w:id="3" w:name="_Ref489097618"/>
      <w:r>
        <w:rPr>
          <w:smallCaps/>
        </w:rPr>
        <w:t>Inefficiency of Markets for Commodity-Like Products</w:t>
      </w:r>
      <w:bookmarkEnd w:id="3"/>
    </w:p>
    <w:p>
      <w:pPr>
        <w:pStyle w:val="JustifiedBody"/>
        <w:rPr/>
      </w:pPr>
      <w:r>
        <w:rPr/>
        <w:t>The importance of quality, the assurance of timely delivery and the fragmentation of supply markets complicates the process by which buyers purchase direct materials and prevent products from trading as commodities.  Purchasers encounter risks if they do business with unknown parties where quality and delivery are unreliable, making it difficult for new participants to compete for business.  Because competition among suppliers is limited by these factors, inefficiencies in pricing and quality result, and inferior products with higher prices are accepted by purchasers.  The benefit of changing commodity-like products into recognized commodities through the Enron’s business model is a more efficient market with improved information transparency, lower prices and more readily available alternative sources of supply.</w:t>
      </w:r>
    </w:p>
    <w:p>
      <w:pPr>
        <w:pStyle w:val="JustifiedBody"/>
        <w:numPr>
          <w:ilvl w:val="0"/>
          <w:numId w:val="0"/>
        </w:numPr>
        <w:spacing w:before="60" w:after="60"/>
        <w:outlineLvl w:val="0"/>
        <w:rPr>
          <w:b/>
          <w:smallCaps/>
          <w:sz w:val="24"/>
        </w:rPr>
      </w:pPr>
      <w:r>
        <w:rPr>
          <w:b/>
          <w:smallCaps/>
          <w:sz w:val="24"/>
        </w:rPr>
        <w:t xml:space="preserve">Explosive Growth Projected in U.S. Online B2B Commerce </w:t>
      </w:r>
    </w:p>
    <w:p>
      <w:pPr>
        <w:pStyle w:val="JustifiedBody"/>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increased and secure bandwidth have created a foundation for B2B eCommerce.  This offers the potential for organizations to increase revenue, streamline complex business processes and supply chains, reduce costs and improve productivity.</w:t>
      </w:r>
    </w:p>
    <w:p>
      <w:pPr>
        <w:pStyle w:val="JustifiedBody"/>
        <w:rPr/>
      </w:pPr>
      <w:r>
        <w:rPr/>
        <w:t>The dynamics of B2B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bring together buyers and sellers and information in open, online marketplaces that automate complex business processes and supply chains.</w:t>
      </w:r>
    </w:p>
    <w:p>
      <w:pPr>
        <w:pStyle w:val="JustifiedBody"/>
        <w:rPr/>
      </w:pPr>
      <w:r>
        <w:rPr/>
        <w:t>B2B eCommerce is experiencing explosive growth with on-line trading activity, estimated by Jupiter, to reach 42% of all U.S. non-service B2B transactions by 2005.  Jupiter’s research estimates that while B2B Internet commerce is only expected to represent three percent of the total U.S. B2B non-service market or $336 billion in 2000, the online volume is expected to grow at an average annual rate of 80.0% over the next five years, reaching $6.3 trillion in 2005.  Jupiter concludes that Internet-based markets can completely disrupt current channels and alter how companies and industries conduct business.</w:t>
      </w:r>
    </w:p>
    <w:tbl>
      <w:tblPr>
        <w:tblW w:w="9450" w:type="dxa"/>
        <w:jc w:val="start"/>
        <w:tblInd w:w="108" w:type="dxa"/>
        <w:tblLayout w:type="fixed"/>
        <w:tblCellMar>
          <w:top w:w="0" w:type="dxa"/>
          <w:start w:w="108" w:type="dxa"/>
          <w:bottom w:w="0" w:type="dxa"/>
          <w:end w:w="108" w:type="dxa"/>
        </w:tblCellMar>
      </w:tblPr>
      <w:tblGrid>
        <w:gridCol w:w="4725"/>
        <w:gridCol w:w="4725"/>
      </w:tblGrid>
      <w:tr>
        <w:trPr>
          <w:trHeight w:val="400" w:hRule="exact"/>
        </w:trPr>
        <w:tc>
          <w:tcPr>
            <w:tcW w:w="9450" w:type="dxa"/>
            <w:gridSpan w:val="2"/>
            <w:tcBorders>
              <w:start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 xml:space="preserve">US Online B2B Industrial Commerce </w:t>
            </w:r>
            <w:r>
              <w:rPr>
                <w:b/>
                <w:color w:val="FFFFFF"/>
                <w:vertAlign w:val="superscript"/>
              </w:rPr>
              <w:t>(a)</w:t>
            </w:r>
          </w:p>
        </w:tc>
      </w:tr>
      <w:tr>
        <w:trPr/>
        <w:tc>
          <w:tcPr>
            <w:tcW w:w="4725" w:type="dxa"/>
            <w:tcBorders>
              <w:start w:val="single" w:sz="4" w:space="0" w:color="000000"/>
            </w:tcBorders>
          </w:tcPr>
          <w:p>
            <w:pPr>
              <w:pStyle w:val="Normal"/>
              <w:numPr>
                <w:ilvl w:val="0"/>
                <w:numId w:val="0"/>
              </w:numPr>
              <w:pBdr>
                <w:bottom w:val="single" w:sz="4" w:space="1" w:color="000000"/>
              </w:pBdr>
              <w:spacing w:before="120" w:after="0"/>
              <w:ind w:start="162" w:end="117"/>
              <w:jc w:val="center"/>
              <w:outlineLvl w:val="0"/>
              <w:rPr>
                <w:b/>
                <w:sz w:val="22"/>
              </w:rPr>
            </w:pPr>
            <w:r>
              <w:rPr>
                <w:b/>
                <w:sz w:val="22"/>
              </w:rPr>
              <w:t xml:space="preserve">B2B Volume </w:t>
            </w:r>
            <w:r>
              <w:rPr>
                <w:rStyle w:val="CommentReference"/>
                <w:vanish w:val="false"/>
              </w:rPr>
              <w:commentReference w:id="3"/>
            </w:r>
            <w:r>
              <w:rPr>
                <w:b/>
                <w:sz w:val="22"/>
              </w:rPr>
              <w:t xml:space="preserve"> </w:t>
            </w:r>
            <w:r>
              <w:rPr>
                <w:b/>
                <w:vanish/>
                <w:color w:val="FF0000"/>
                <w:sz w:val="14"/>
              </w:rPr>
              <w:t>excel edited as a picture</w:t>
            </w:r>
          </w:p>
        </w:tc>
        <w:tc>
          <w:tcPr>
            <w:tcW w:w="4725" w:type="dxa"/>
            <w:tcBorders>
              <w:end w:val="single" w:sz="4" w:space="0" w:color="000000"/>
            </w:tcBorders>
          </w:tcPr>
          <w:p>
            <w:pPr>
              <w:pStyle w:val="Normal"/>
              <w:numPr>
                <w:ilvl w:val="0"/>
                <w:numId w:val="0"/>
              </w:numPr>
              <w:pBdr>
                <w:bottom w:val="single" w:sz="4" w:space="1" w:color="000000"/>
              </w:pBdr>
              <w:spacing w:before="120" w:after="0"/>
              <w:ind w:start="117" w:end="162"/>
              <w:jc w:val="center"/>
              <w:outlineLvl w:val="0"/>
              <w:rPr>
                <w:b/>
                <w:sz w:val="22"/>
              </w:rPr>
            </w:pPr>
            <w:r>
              <w:rPr>
                <w:b/>
                <w:sz w:val="22"/>
              </w:rPr>
              <w:t xml:space="preserve">B2B Penetration </w:t>
            </w:r>
            <w:r>
              <w:rPr>
                <w:b/>
                <w:sz w:val="22"/>
                <w:vertAlign w:val="superscript"/>
              </w:rPr>
              <w:t>(b)</w:t>
            </w:r>
          </w:p>
        </w:tc>
      </w:tr>
      <w:tr>
        <w:trPr/>
        <w:tc>
          <w:tcPr>
            <w:tcW w:w="4725" w:type="dxa"/>
            <w:tcBorders>
              <w:start w:val="single" w:sz="4" w:space="0" w:color="000000"/>
            </w:tcBorders>
          </w:tcPr>
          <w:p>
            <w:pPr>
              <w:pStyle w:val="Normal"/>
              <w:numPr>
                <w:ilvl w:val="0"/>
                <w:numId w:val="0"/>
              </w:numPr>
              <w:ind w:start="-198" w:end="0"/>
              <w:outlineLvl w:val="0"/>
              <w:rPr>
                <w:sz w:val="12"/>
              </w:rPr>
            </w:pPr>
            <w:r>
              <w:rPr>
                <w:sz w:val="12"/>
              </w:rPr>
              <w:drawing>
                <wp:inline distT="0" distB="0" distL="0" distR="0">
                  <wp:extent cx="3008630" cy="1551940"/>
                  <wp:effectExtent l="0" t="0" r="0" b="0"/>
                  <wp:docPr id="2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 descr="" title=""/>
                          <pic:cNvPicPr>
                            <a:picLocks noChangeAspect="1" noChangeArrowheads="1"/>
                          </pic:cNvPicPr>
                        </pic:nvPicPr>
                        <pic:blipFill>
                          <a:blip r:embed="rId47"/>
                          <a:srcRect l="-10" t="-19" r="-10" b="-19"/>
                          <a:stretch>
                            <a:fillRect/>
                          </a:stretch>
                        </pic:blipFill>
                        <pic:spPr bwMode="auto">
                          <a:xfrm>
                            <a:off x="0" y="0"/>
                            <a:ext cx="3008630" cy="1551940"/>
                          </a:xfrm>
                          <a:prstGeom prst="rect">
                            <a:avLst/>
                          </a:prstGeom>
                          <a:noFill/>
                        </pic:spPr>
                      </pic:pic>
                    </a:graphicData>
                  </a:graphic>
                </wp:inline>
              </w:drawing>
            </w:r>
          </w:p>
        </w:tc>
        <w:tc>
          <w:tcPr>
            <w:tcW w:w="4725" w:type="dxa"/>
            <w:tcBorders>
              <w:end w:val="single" w:sz="4" w:space="0" w:color="000000"/>
            </w:tcBorders>
          </w:tcPr>
          <w:p>
            <w:pPr>
              <w:pStyle w:val="Normal"/>
              <w:numPr>
                <w:ilvl w:val="0"/>
                <w:numId w:val="0"/>
              </w:numPr>
              <w:ind w:start="-153" w:end="0"/>
              <w:outlineLvl w:val="0"/>
              <w:rPr>
                <w:sz w:val="12"/>
              </w:rPr>
            </w:pPr>
            <w:bookmarkStart w:id="4" w:name="_1025597231"/>
            <w:bookmarkStart w:id="5" w:name="_1025550626"/>
            <w:bookmarkStart w:id="6" w:name="_1025544734"/>
            <w:bookmarkStart w:id="7" w:name="_1025543943"/>
            <w:bookmarkEnd w:id="4"/>
            <w:bookmarkEnd w:id="5"/>
            <w:bookmarkEnd w:id="6"/>
            <w:bookmarkEnd w:id="7"/>
            <w:r>
              <w:rPr>
                <w:sz w:val="12"/>
              </w:rPr>
              <w:object w:dxaOrig="6401" w:dyaOrig="3073">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33.85pt;height:120.15pt" filled="f" o:ole="">
                  <v:imagedata r:id="rId49" o:title=""/>
                </v:shape>
                <o:OLEObject Type="Embed" ProgID="Excel.Sheet.12" ShapeID="ole_rId48" DrawAspect="Content" ObjectID="_505454663" r:id="rId48"/>
              </w:object>
            </w:r>
          </w:p>
        </w:tc>
      </w:tr>
      <w:tr>
        <w:trPr/>
        <w:tc>
          <w:tcPr>
            <w:tcW w:w="9450" w:type="dxa"/>
            <w:gridSpan w:val="2"/>
            <w:tcBorders>
              <w:start w:val="single" w:sz="4" w:space="0" w:color="000000"/>
              <w:bottom w:val="single" w:sz="4" w:space="0" w:color="000000"/>
              <w:end w:val="single" w:sz="4" w:space="0" w:color="000000"/>
            </w:tcBorders>
          </w:tcPr>
          <w:p>
            <w:pPr>
              <w:pStyle w:val="Normal"/>
              <w:numPr>
                <w:ilvl w:val="0"/>
                <w:numId w:val="0"/>
              </w:numPr>
              <w:spacing w:before="40" w:after="0"/>
              <w:ind w:hanging="346" w:start="346" w:end="0"/>
              <w:outlineLvl w:val="0"/>
              <w:rPr>
                <w:i/>
                <w:i/>
                <w:sz w:val="16"/>
              </w:rPr>
            </w:pPr>
            <w:r>
              <mc:AlternateContent>
                <mc:Choice Requires="wps">
                  <w:drawing>
                    <wp:anchor behindDoc="0" distT="0" distB="0" distL="114935" distR="114935" simplePos="0" locked="0" layoutInCell="0" allowOverlap="1" relativeHeight="41">
                      <wp:simplePos x="0" y="0"/>
                      <wp:positionH relativeFrom="margin">
                        <wp:posOffset>76200</wp:posOffset>
                      </wp:positionH>
                      <wp:positionV relativeFrom="paragraph">
                        <wp:posOffset>635</wp:posOffset>
                      </wp:positionV>
                      <wp:extent cx="2377440" cy="0"/>
                      <wp:effectExtent l="0" t="5080" r="0" b="5080"/>
                      <wp:wrapNone/>
                      <wp:docPr id="29"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0.05pt" to="193.15pt,0.05pt" stroked="t" o:allowincell="f" style="position:absolute;mso-position-horizontal-relative:margin">
                      <v:stroke color="black" weight="9360" joinstyle="miter" endcap="flat"/>
                      <v:fill o:detectmouseclick="t" on="false"/>
                      <w10:wrap type="none"/>
                    </v:line>
                  </w:pict>
                </mc:Fallback>
              </mc:AlternateContent>
            </w:r>
            <w:r>
              <w:rPr>
                <w:i/>
                <w:sz w:val="16"/>
              </w:rPr>
              <w:t>(a)</w:t>
              <w:tab/>
              <w:t>Estimates per Jupiter, June 2000.</w:t>
            </w:r>
          </w:p>
          <w:p>
            <w:pPr>
              <w:pStyle w:val="Normal"/>
              <w:numPr>
                <w:ilvl w:val="0"/>
                <w:numId w:val="0"/>
              </w:numPr>
              <w:spacing w:before="0" w:after="120"/>
              <w:ind w:hanging="346" w:start="346" w:end="0"/>
              <w:outlineLvl w:val="0"/>
              <w:rPr>
                <w:sz w:val="22"/>
              </w:rPr>
            </w:pPr>
            <w:r>
              <w:rPr>
                <w:i/>
                <w:sz w:val="16"/>
              </w:rPr>
              <w:t>(b)</w:t>
              <w:tab/>
              <w:t>Penetration represents online commerce as a percentage of total B2B non-service commerce</w:t>
            </w:r>
          </w:p>
        </w:tc>
      </w:tr>
    </w:tbl>
    <w:p>
      <w:pPr>
        <w:sectPr>
          <w:headerReference w:type="default" r:id="rId50"/>
          <w:footerReference w:type="default" r:id="rId51"/>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
        <w:numPr>
          <w:ilvl w:val="0"/>
          <w:numId w:val="0"/>
        </w:numPr>
        <w:rPr>
          <w:b/>
          <w:smallCaps/>
          <w:sz w:val="24"/>
        </w:rPr>
      </w:pPr>
      <w:r>
        <w:rPr>
          <w:b/>
          <w:smallCaps/>
          <w:sz w:val="24"/>
        </w:rPr>
      </w:r>
    </w:p>
    <w:p>
      <w:pPr>
        <w:sectPr>
          <w:type w:val="continuous"/>
          <w:pgSz w:w="12240" w:h="15840"/>
          <w:pgMar w:left="1440" w:right="1440" w:gutter="0" w:header="432" w:top="1350" w:footer="720" w:bottom="1440"/>
          <w:formProt w:val="false"/>
          <w:textDirection w:val="lrTb"/>
          <w:docGrid w:type="default" w:linePitch="360" w:charSpace="0"/>
        </w:sectPr>
      </w:pPr>
    </w:p>
    <w:p>
      <w:pPr>
        <w:pStyle w:val="JustifiedBody"/>
        <w:numPr>
          <w:ilvl w:val="0"/>
          <w:numId w:val="0"/>
        </w:numPr>
        <w:spacing w:before="240" w:after="60"/>
        <w:outlineLvl w:val="0"/>
        <w:rPr>
          <w:b/>
          <w:smallCaps/>
          <w:sz w:val="24"/>
        </w:rPr>
      </w:pPr>
      <w:r>
        <w:rPr>
          <w:b/>
          <w:smallCaps/>
          <w:sz w:val="24"/>
        </w:rPr>
        <w:t xml:space="preserve">The Net Works Strategy </w:t>
      </w:r>
    </w:p>
    <w:p>
      <w:pPr>
        <w:pStyle w:val="JustifiedBody"/>
        <w:spacing w:before="0" w:after="0"/>
        <w:rPr/>
      </w:pPr>
      <w:r>
        <w:rPr>
          <w:highlight w:val="yellow"/>
        </w:rPr>
        <w:t xml:space="preserve">After a broad evaluation of various industries, Enron has selected base metals, pulp and paper, steel and lumber as the initial Targeted Industries.  </w:t>
      </w:r>
      <w:r>
        <w:rPr/>
        <w:t>Net Works intends to gain access to physical commodity flow in the Targeted Industries by the acquisition of: (a) intermediaries that provide physical capabilities to expand into new industries (e.g. MG plc); (b) contractual access to physical product; or (c) production capabilities (e.g. Garden State Paper).  By obtaining assured access to the physical commodity, Net Works can ensure quality and delivery to its counterparties.  Net Works intends to acquire access to these physical commodity flows with the minimum capital investment possible to execute its acquisition strategy.</w:t>
      </w:r>
    </w:p>
    <w:p>
      <w:pPr>
        <w:pStyle w:val="JustifiedBody"/>
        <w:spacing w:before="120" w:after="0"/>
        <w:rPr/>
      </w:pPr>
      <w:r>
        <w:rPr/>
        <w:t xml:space="preserve">Once Net Works has acquired assured physical access to a commodity, an e-marketplace can be developed utilizing the capabilities developed for EnronOnline that will provide participants with real-time bid/ask quotes based on market supply and demand.  Enron has developed proprietary technology that allows real time market prices to be calculated based on buying and selling pressures.  This ability to create price transparency is key to establishing market liquidity.  In addition, to effectively intermediate an industry requires sophisticated logistics and settlement capabilities to ensure efficient product delivery and facilitate an orderly exchange. </w:t>
      </w:r>
    </w:p>
    <w:p>
      <w:pPr>
        <w:pStyle w:val="JustifiedBody"/>
        <w:spacing w:before="120" w:after="0"/>
        <w:rPr/>
      </w:pPr>
      <w:r>
        <w:rPr/>
        <w:t xml:space="preserve">Net Works expects the creation of an efficient marketplace to significantly reduce product prices and generate speculative trading in theTargeted Industries.  This speculative trading leads to significant increases in trading volume.  End product users benefit from greater price transparency regardless of the size or physical location.  Net Works plans to become a leading market-make, transacting for its own account in the Targeted Industries creating liquidity for sellers, reducing transaction costs and allowing buyers to better manage their pricing.  Net Works will utilize sophisticated financial products to allow product to be purchased on a long-term basis with greater pricing certainty. </w:t>
      </w:r>
    </w:p>
    <w:p>
      <w:pPr>
        <w:pStyle w:val="JustifiedBody"/>
        <w:spacing w:before="120" w:after="0"/>
        <w:rPr/>
      </w:pPr>
      <w:r>
        <w:rPr/>
        <w:t>Net Works expects the rapid penetration of new marketplaces to be facilitated by the ability to leverage capabilities developed for EnronOnline.  As a market-maker, Net Works generates profits from bid/ask spreads.  In addition, a more significant profit margin is generated by selling customized products, which can only be structured by a market-maker that controls significant market volume.</w:t>
      </w:r>
    </w:p>
    <w:p>
      <w:pPr>
        <w:pStyle w:val="JustifiedBody"/>
        <w:numPr>
          <w:ilvl w:val="0"/>
          <w:numId w:val="0"/>
        </w:numPr>
        <w:spacing w:before="120" w:after="60"/>
        <w:outlineLvl w:val="0"/>
        <w:rPr>
          <w:b/>
          <w:i/>
          <w:i/>
          <w:sz w:val="24"/>
        </w:rPr>
      </w:pPr>
      <w:r>
        <w:rPr>
          <w:b/>
          <w:smallCaps/>
          <w:sz w:val="24"/>
        </w:rPr>
        <w:t>Characteristics of Attractive Targeted Industries</w:t>
      </w:r>
    </w:p>
    <w:p>
      <w:pPr>
        <w:pStyle w:val="JustifiedBody"/>
        <w:rPr>
          <w:b/>
          <w:i/>
          <w:i/>
        </w:rPr>
      </w:pPr>
      <w:r>
        <w:rPr/>
        <w:t>Characteristics that Enron believes make an industry well-suited for the application of the Company’s business model include the following:</w:t>
      </w:r>
    </w:p>
    <w:p>
      <w:pPr>
        <w:pStyle w:val="JustifiedBody"/>
        <w:numPr>
          <w:ilvl w:val="0"/>
          <w:numId w:val="6"/>
        </w:numPr>
        <w:rPr/>
      </w:pPr>
      <w:r>
        <w:rPr>
          <w:b/>
          <w:i/>
        </w:rPr>
        <w:t>Commodity-like product.</w:t>
      </w:r>
      <w:r>
        <w:rPr/>
        <w:t xml:space="preserve">  Producers in commodity-like industries often develop slight variation to differentiate their products to justify price premiums.  For many products, whose composition is largely chemical, Enron believes standards can be set to establish tradable commodities.  Once tradable commodities are established, there is an opportunity for increased market efficiency. Specialty products that require communication between the producer and the customer are not markets well-suited for the Net Works strategy.  </w:t>
      </w:r>
    </w:p>
    <w:p>
      <w:pPr>
        <w:pStyle w:val="JustifiedBody"/>
        <w:numPr>
          <w:ilvl w:val="0"/>
          <w:numId w:val="6"/>
        </w:numPr>
        <w:outlineLvl w:val="0"/>
        <w:rPr/>
      </w:pPr>
      <w:r>
        <w:rPr>
          <w:b/>
          <w:i/>
        </w:rPr>
        <w:t xml:space="preserve">Capital intensive.  </w:t>
      </w:r>
      <w:r>
        <w:rPr/>
        <w:t>As major capital investments need to be made to build production facilities, it is often helpful for producers to enter into long-term contracts to ensure that future pricing justifies the investment.  By purchasing a contract to reduce long-term price volatility, producers are able to increase the debt they are able to obtain, leading to greater returns on equity.</w:t>
      </w:r>
    </w:p>
    <w:p>
      <w:pPr>
        <w:pStyle w:val="JustifiedBody"/>
        <w:numPr>
          <w:ilvl w:val="0"/>
          <w:numId w:val="6"/>
        </w:numPr>
        <w:rPr/>
      </w:pPr>
      <w:r>
        <w:rPr>
          <w:b/>
          <w:i/>
        </w:rPr>
        <w:t xml:space="preserve">Volatile pricing.  </w:t>
      </w:r>
      <w:r>
        <w:rPr/>
        <w:t xml:space="preserve">Price volatility creates the need for hedging instruments to reduce uncertainty.  Long term fixed pricing helps producers make capital budgeting decisions and users to predict their cost structure.  Through the use of derivative contracts, Enron can offer products that allow end-users to mitigate risks through long term fixed pricing.  For some industries where relative stable pricing already exists, creating an efficient marketplace reduces costs.  However, commodity trading can create volatility in periods of large supply and demand imbalances, which increases the need to obtain long term fixed priced access to a product.  </w:t>
      </w:r>
    </w:p>
    <w:p>
      <w:pPr>
        <w:pStyle w:val="JustifiedBody"/>
        <w:numPr>
          <w:ilvl w:val="0"/>
          <w:numId w:val="6"/>
        </w:numPr>
        <w:rPr/>
      </w:pPr>
      <w:r>
        <w:rPr>
          <w:b/>
          <w:i/>
        </w:rPr>
        <w:t>Significant percentage of consumers’ total cost.</w:t>
      </w:r>
      <w:r>
        <w:rPr/>
        <w:t xml:space="preserve">  Market participants must be convinced that exploring purchasing alternatives could have a significant positive impact on their cost structure.  Net Works must demonstrate that intermediation results in increased efficiency, reduced costs and greater long-term flexibility.  If the cost of a product is a significant percentage of a company’s total input cost, the more important price is to the buyer.  Unless significant savings can be realized, buyers and sellers have no incentive to disrupt business as usual.  With large dollars invested and at risk, consumers are more concerned with obtaining lower costs and more interested in creative purchasing solutions.</w:t>
      </w:r>
    </w:p>
    <w:p>
      <w:pPr>
        <w:pStyle w:val="JustifiedBody"/>
        <w:numPr>
          <w:ilvl w:val="0"/>
          <w:numId w:val="6"/>
        </w:numPr>
        <w:rPr/>
      </w:pPr>
      <w:r>
        <w:rPr>
          <w:b/>
          <w:i/>
        </w:rPr>
        <w:t>Inefficient sales processes.</w:t>
      </w:r>
      <w:r>
        <w:rPr/>
        <w:t xml:space="preserve"> Many industries sell commodity-like products through legacy sales forces that are reliant on long-term relationships.  This results in substantial inefficiency with significant cost incurred to maintain a sales force.  Lack of price transparency results in higher pricing than what should exist for products that have commodity-like characteristics.</w:t>
      </w:r>
    </w:p>
    <w:p>
      <w:pPr>
        <w:pStyle w:val="JustifiedBody"/>
        <w:numPr>
          <w:ilvl w:val="0"/>
          <w:numId w:val="6"/>
        </w:numPr>
        <w:rPr/>
      </w:pPr>
      <w:r>
        <w:rPr>
          <w:b/>
          <w:i/>
        </w:rPr>
        <w:t xml:space="preserve">Complex logistics systems.   </w:t>
      </w:r>
      <w:r>
        <w:rPr/>
        <w:t>Managing the movement of products must be sufficiently complex to make it difficult for others to physically deliver products.  An intermediary with economy-of-scale leverage can develop the global network required to ensure it can deliver such products efficiently. Individual market participants do not have the volume to justify dedicating resources to moving products most efficiently.  Enron can benefit from its experience and existing resources to build sophisticated physical distribution capabilities in the Targeted Industries.  This investment will serve as a barrier to entry.</w:t>
      </w:r>
    </w:p>
    <w:p>
      <w:pPr>
        <w:pStyle w:val="JustifiedBody"/>
        <w:numPr>
          <w:ilvl w:val="0"/>
          <w:numId w:val="6"/>
        </w:numPr>
        <w:rPr/>
      </w:pPr>
      <w:r>
        <w:rPr>
          <w:b/>
          <w:i/>
        </w:rPr>
        <w:t>Slow moving, highly fragmented markets with no dominant participant.</w:t>
      </w:r>
      <w:r>
        <w:rPr/>
        <w:t xml:space="preserve">  The Targeted Industries are typically characterized by numerous producers and buyers.  By creating industry standards and a commoditized marketplace, Net Works plans to introduce greater price transparency, which should lead to increased market efficiency, lower prices, increased volume, new products and, ultimately, greater profits for Net Works.</w:t>
      </w:r>
    </w:p>
    <w:p>
      <w:pPr>
        <w:pStyle w:val="Heading5"/>
        <w:tabs>
          <w:tab w:val="clear" w:pos="720"/>
          <w:tab w:val="left" w:pos="9720" w:leader="none"/>
        </w:tabs>
        <w:spacing w:before="60" w:after="60"/>
        <w:ind w:hanging="0" w:start="0" w:end="547"/>
        <w:jc w:val="start"/>
        <w:rPr>
          <w:smallCaps/>
        </w:rPr>
      </w:pPr>
      <w:r>
        <w:rPr>
          <w:smallCaps/>
        </w:rPr>
        <w:t xml:space="preserve">Overview of Targeted Industries </w:t>
      </w:r>
    </w:p>
    <w:p>
      <w:pPr>
        <w:pStyle w:val="JustifiedBody"/>
        <w:rPr/>
      </w:pPr>
      <w:r>
        <w:rPr/>
        <w:t xml:space="preserve">Enron has already been successful in leading the transformation of markets by changing the ways buyers and sellers interact.  As Enron looks for attractive industries in which to implement its business model, it looks for a catalyst in an industry that will accelerate a shift in behavior among traditional industry participants.  Enron has identified several industries where the Internet represents such a catalyst and accelerates the opportunity to replicate the success it has attained in other markets.   </w:t>
      </w:r>
    </w:p>
    <w:p>
      <w:pPr>
        <w:pStyle w:val="JustifiedBody"/>
        <w:rPr/>
      </w:pPr>
      <w:r>
        <w:rPr/>
        <w:t xml:space="preserve">The Internet provides a unique opportunity to have immediate and inexpensive access to market participants through a new distribution channel.  A number of Internet companies and, more recently, established industry participants have attempted to develop various forms of e-marketplaces across a broad spectrum of vertical markets.  While many so-called Internet vertical exchanges have been the first to enter the market, generally they have not demonstrated the ability to build the necessary volume and liquidity to become successful online marketplaces.  </w:t>
      </w:r>
    </w:p>
    <w:p>
      <w:pPr>
        <w:pStyle w:val="JustifiedBody"/>
        <w:rPr/>
      </w:pPr>
      <w:r>
        <w:rPr/>
        <w:t xml:space="preserve">In addition to start-up companies, established participants in a number of industries have announced Internet-based initiatives involving alliances among multiple competitors to build online trading hubs.  Generally, these initiatives are being led by industry incumbents who are focused primarily on optimizing the industry supply chain, and have no real interest in truly changing market behavior for their products. </w:t>
      </w:r>
    </w:p>
    <w:tbl>
      <w:tblPr>
        <w:tblW w:w="9360" w:type="dxa"/>
        <w:jc w:val="start"/>
        <w:tblInd w:w="108" w:type="dxa"/>
        <w:tblLayout w:type="fixed"/>
        <w:tblCellMar>
          <w:top w:w="0" w:type="dxa"/>
          <w:start w:w="108" w:type="dxa"/>
          <w:bottom w:w="0" w:type="dxa"/>
          <w:end w:w="108" w:type="dxa"/>
        </w:tblCellMar>
      </w:tblPr>
      <w:tblGrid>
        <w:gridCol w:w="4050"/>
        <w:gridCol w:w="1170"/>
        <w:gridCol w:w="1170"/>
        <w:gridCol w:w="1170"/>
        <w:gridCol w:w="1170"/>
        <w:gridCol w:w="630"/>
      </w:tblGrid>
      <w:tr>
        <w:trPr>
          <w:trHeight w:val="400" w:hRule="exact"/>
        </w:trPr>
        <w:tc>
          <w:tcPr>
            <w:tcW w:w="9360" w:type="dxa"/>
            <w:gridSpan w:val="6"/>
            <w:tcBorders>
              <w:top w:val="single" w:sz="4" w:space="0" w:color="000000"/>
              <w:start w:val="single" w:sz="4" w:space="0" w:color="000000"/>
              <w:end w:val="single" w:sz="4" w:space="0" w:color="000000"/>
            </w:tcBorders>
            <w:shd w:fill="0000FF" w:val="clear"/>
            <w:vAlign w:val="center"/>
          </w:tcPr>
          <w:p>
            <w:pPr>
              <w:pStyle w:val="JustifiedBody"/>
              <w:keepNext w:val="true"/>
              <w:tabs>
                <w:tab w:val="clear" w:pos="720"/>
                <w:tab w:val="left" w:pos="0" w:leader="none"/>
              </w:tabs>
              <w:spacing w:before="60" w:after="60"/>
              <w:ind w:end="547"/>
              <w:jc w:val="center"/>
              <w:rPr>
                <w:color w:val="FFFFFF"/>
                <w:sz w:val="24"/>
              </w:rPr>
            </w:pPr>
            <w:r>
              <w:rPr>
                <w:b/>
                <w:smallCaps/>
                <w:color w:val="FFFFFF"/>
                <w:sz w:val="24"/>
              </w:rPr>
              <w:t>Attractiveness of Targeted Industries</w:t>
            </w:r>
          </w:p>
        </w:tc>
      </w:tr>
      <w:tr>
        <w:trPr>
          <w:trHeight w:val="279" w:hRule="atLeast"/>
        </w:trPr>
        <w:tc>
          <w:tcPr>
            <w:tcW w:w="4050" w:type="dxa"/>
            <w:tcBorders>
              <w:start w:val="single" w:sz="4" w:space="0" w:color="000000"/>
            </w:tcBorders>
          </w:tcPr>
          <w:p>
            <w:pPr>
              <w:pStyle w:val="ParagraphHeading"/>
              <w:snapToGrid w:val="false"/>
              <w:spacing w:before="0" w:after="0"/>
              <w:jc w:val="center"/>
              <w:outlineLvl w:val="0"/>
              <w:rPr>
                <w:color w:val="FFFFFF"/>
                <w:sz w:val="20"/>
              </w:rPr>
            </w:pPr>
            <w:r>
              <w:rPr>
                <w:color w:val="FFFFFF"/>
                <w:sz w:val="20"/>
              </w:rPr>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Base Metals</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Pulp &amp; Paper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Lumber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Steel</w:t>
            </w:r>
          </w:p>
        </w:tc>
        <w:tc>
          <w:tcPr>
            <w:tcW w:w="630" w:type="dxa"/>
            <w:tcBorders>
              <w:end w:val="single" w:sz="4" w:space="0" w:color="000000"/>
            </w:tcBorders>
          </w:tcPr>
          <w:p>
            <w:pPr>
              <w:pStyle w:val="ParagraphHeading"/>
              <w:snapToGrid w:val="false"/>
              <w:spacing w:before="0" w:after="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20" w:after="20"/>
              <w:ind w:start="522" w:end="0"/>
              <w:jc w:val="start"/>
              <w:outlineLvl w:val="0"/>
              <w:rPr>
                <w:b w:val="false"/>
                <w:sz w:val="20"/>
              </w:rPr>
            </w:pPr>
            <w:r>
              <w:rPr>
                <w:b w:val="false"/>
                <w:caps w:val="false"/>
                <w:smallCaps w:val="false"/>
                <w:sz w:val="20"/>
              </w:rPr>
              <w:t>Commodity-like Product</w:t>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color w:val="0000FF"/>
                <w:sz w:val="20"/>
              </w:rPr>
            </w:pPr>
            <w:r>
              <w:rPr>
                <w:color w:val="0000FF"/>
                <w:sz w:val="20"/>
              </w:rPr>
            </w:r>
          </w:p>
        </w:tc>
      </w:tr>
      <w:tr>
        <w:trPr/>
        <w:tc>
          <w:tcPr>
            <w:tcW w:w="4050" w:type="dxa"/>
            <w:tcBorders>
              <w:start w:val="single" w:sz="4" w:space="0" w:color="000000"/>
            </w:tcBorders>
          </w:tcPr>
          <w:p>
            <w:pPr>
              <w:pStyle w:val="ParagraphHeading"/>
              <w:spacing w:before="20" w:after="20"/>
              <w:ind w:start="522" w:end="0"/>
              <w:jc w:val="start"/>
              <w:outlineLvl w:val="0"/>
              <w:rPr>
                <w:b w:val="false"/>
                <w:caps w:val="false"/>
                <w:smallCaps w:val="false"/>
                <w:sz w:val="20"/>
              </w:rPr>
            </w:pPr>
            <w:r>
              <w:rPr>
                <w:b w:val="false"/>
                <w:caps w:val="false"/>
                <w:smallCaps w:val="false"/>
                <w:sz w:val="20"/>
              </w:rPr>
              <w:t>Capital Intensive</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20" w:after="20"/>
              <w:ind w:start="522" w:end="0"/>
              <w:jc w:val="start"/>
              <w:outlineLvl w:val="0"/>
              <w:rPr>
                <w:b w:val="false"/>
                <w:caps w:val="false"/>
                <w:smallCaps w:val="false"/>
                <w:sz w:val="20"/>
              </w:rPr>
            </w:pPr>
            <w:r>
              <w:rPr>
                <w:b w:val="false"/>
                <w:caps w:val="false"/>
                <w:smallCaps w:val="false"/>
                <w:sz w:val="20"/>
              </w:rPr>
              <w:t>Volatile Pricing</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20" w:after="20"/>
              <w:ind w:start="522" w:end="0"/>
              <w:jc w:val="start"/>
              <w:outlineLvl w:val="0"/>
              <w:rPr>
                <w:b w:val="false"/>
                <w:caps w:val="false"/>
                <w:smallCaps w:val="false"/>
                <w:sz w:val="20"/>
              </w:rPr>
            </w:pPr>
            <w:r>
              <w:rPr>
                <w:b w:val="false"/>
                <w:caps w:val="false"/>
                <w:smallCaps w:val="false"/>
                <w:sz w:val="20"/>
              </w:rPr>
              <w:t>Significant Percent  of Consumers’  Cost</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20" w:after="20"/>
              <w:ind w:start="522" w:end="0"/>
              <w:jc w:val="start"/>
              <w:outlineLvl w:val="0"/>
              <w:rPr>
                <w:b w:val="false"/>
                <w:caps w:val="false"/>
                <w:smallCaps w:val="false"/>
                <w:sz w:val="20"/>
              </w:rPr>
            </w:pPr>
            <w:r>
              <w:rPr>
                <w:b w:val="false"/>
                <w:caps w:val="false"/>
                <w:smallCaps w:val="false"/>
                <w:sz w:val="20"/>
              </w:rPr>
              <w:t>Inefficient Sales Processes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20" w:after="20"/>
              <w:ind w:start="522" w:end="0"/>
              <w:jc w:val="start"/>
              <w:outlineLvl w:val="0"/>
              <w:rPr>
                <w:b w:val="false"/>
                <w:caps w:val="false"/>
                <w:smallCaps w:val="false"/>
                <w:sz w:val="20"/>
              </w:rPr>
            </w:pPr>
            <w:r>
              <w:rPr>
                <w:b w:val="false"/>
                <w:caps w:val="false"/>
                <w:smallCaps w:val="false"/>
                <w:sz w:val="20"/>
              </w:rPr>
              <w:t>Complex Logistics Systems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rHeight w:val="288" w:hRule="atLeast"/>
        </w:trPr>
        <w:tc>
          <w:tcPr>
            <w:tcW w:w="4050" w:type="dxa"/>
            <w:tcBorders>
              <w:start w:val="single" w:sz="4" w:space="0" w:color="000000"/>
              <w:bottom w:val="single" w:sz="4" w:space="0" w:color="000000"/>
            </w:tcBorders>
          </w:tcPr>
          <w:p>
            <w:pPr>
              <w:pStyle w:val="ParagraphHeading"/>
              <w:keepNext w:val="false"/>
              <w:spacing w:before="20" w:after="20"/>
              <w:ind w:start="522" w:end="0"/>
              <w:jc w:val="start"/>
              <w:outlineLvl w:val="0"/>
              <w:rPr>
                <w:b w:val="false"/>
                <w:caps w:val="false"/>
                <w:smallCaps w:val="false"/>
                <w:sz w:val="20"/>
              </w:rPr>
            </w:pPr>
            <w:r>
              <w:rPr>
                <w:b w:val="false"/>
                <w:caps w:val="false"/>
                <w:smallCaps w:val="false"/>
                <w:sz w:val="20"/>
              </w:rPr>
              <w:t>Highly Fragmented</w:t>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bottom w:val="single" w:sz="4" w:space="0" w:color="000000"/>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bl>
    <w:p>
      <w:pPr>
        <w:pStyle w:val="Normal"/>
        <w:numPr>
          <w:ilvl w:val="0"/>
          <w:numId w:val="0"/>
        </w:numPr>
        <w:spacing w:before="120" w:after="60"/>
        <w:outlineLvl w:val="0"/>
        <w:rPr/>
      </w:pPr>
      <w:r>
        <w:rPr>
          <w:b/>
          <w:sz w:val="24"/>
        </w:rPr>
        <w:t>Base Metals</w:t>
      </w:r>
      <w:r>
        <w:rPr>
          <w:sz w:val="24"/>
        </w:rPr>
        <w:t xml:space="preserve"> </w:t>
      </w:r>
    </w:p>
    <w:p>
      <w:pPr>
        <w:pStyle w:val="JustifiedBody"/>
        <w:spacing w:before="60" w:after="60"/>
        <w:rPr/>
      </w:pPr>
      <w:r>
        <w:rPr/>
        <w:t>Industry analysts estimate that approximately $88.9 billion of base metals (including aluminum, copper, nickel, zinc and lead) are consumed annually.  While tradable product standards for the base metals have already been established, given the pricing inefficiency, the high level of price volatility and complex logistics, the base metals industry appears to represent an excellent market for Net Works.  Since a trading market already exists for base metals, it will be easier to implement the Enron business model.  The Company estimates that base metals can trade in excess of 15 times annual production.</w:t>
      </w:r>
    </w:p>
    <w:p>
      <w:pPr>
        <w:pStyle w:val="JustifiedBody"/>
        <w:spacing w:before="120" w:after="120"/>
        <w:rPr/>
      </w:pPr>
      <w:r>
        <w:rPr/>
        <w:t>While standards and liquidity have been established for base metals, the industry has not developed adequate price transparency and purchasing alternatives.  The London Metals Exchange (LME) publishes prices for base metals on a daily basis, however, bid ask spreads are relatively high because there is no record of actual transaction prices.  eCommerce provides an opportunity to greatly improve transaction efficiency for base metals   The cyclical industry has historically suffered volatile production swings and demand imbalances resulting in volatile prices.  Enron believes introducing its financial products, which will enable consumers to obtain long-term predictable pricing, should be well received by market participants.</w:t>
      </w:r>
    </w:p>
    <w:p>
      <w:pPr>
        <w:pStyle w:val="JustifiedBody"/>
        <w:spacing w:before="60" w:after="60"/>
        <w:rPr/>
      </w:pPr>
      <w:r>
        <w:rPr/>
        <w:t>Base metals have complicated distribution structures.  Mines are often located in remote regions of the world and require special logistical consideration and/or government requirements such as import tariffs.  This complexity increases the risk of delivery failure and results in consumers often being more concerned with consistent delivery than a potential cost saving.  Enron has developed logistics expertise through its experience in other industries, which Net Works will leverage to reduce the costs of physical product delivery in the base metals market.</w:t>
      </w:r>
    </w:p>
    <w:p>
      <w:pPr>
        <w:pStyle w:val="JustifiedBody"/>
        <w:spacing w:before="60" w:after="60"/>
        <w:rPr/>
      </w:pPr>
      <w:r>
        <w:rPr/>
        <w:t xml:space="preserve">The base metals sales process is also often inefficient with thousands of independent brokers specializing in the sale of a variety of metal products.  These middleman conduct business largely on the basis of historic relationships and transactions are often completed at off market prices. </w:t>
      </w:r>
    </w:p>
    <w:p>
      <w:pPr>
        <w:pStyle w:val="JustifiedBody"/>
        <w:spacing w:before="60" w:after="60"/>
        <w:rPr/>
      </w:pPr>
      <w:r>
        <w:rPr/>
        <w:t>Enron believes the implementation of its business model in base metals will improve price efficiency and lead to increased demand transparency, thus shortening the supply chain, reducing backlogs, and helping to reduce both industry inventories and working capital costs.</w:t>
      </w:r>
    </w:p>
    <w:p>
      <w:pPr>
        <w:pStyle w:val="Normal"/>
        <w:numPr>
          <w:ilvl w:val="0"/>
          <w:numId w:val="0"/>
        </w:numPr>
        <w:spacing w:before="60" w:after="60"/>
        <w:outlineLvl w:val="0"/>
        <w:rPr>
          <w:b/>
        </w:rPr>
      </w:pPr>
      <w:r>
        <w:rPr>
          <w:b/>
          <w:sz w:val="24"/>
        </w:rPr>
        <w:t>Pulp and Paper</w:t>
      </w:r>
    </w:p>
    <w:p>
      <w:pPr>
        <w:pStyle w:val="JustifiedBody"/>
        <w:rPr/>
      </w:pPr>
      <w:r>
        <w:rPr/>
        <w:t xml:space="preserve">The global paper, packaging and forest products industry represents approximately $350 billion in total annual sales.  Major market segments include pulp, newsprint, printing papers, packaging, tissue and fluff pulp and specialty papers.  Enron has surveyed over 100 publishers and packaging company buyers who have expressed strong interest in online procurement.  Given the commodity nature and price volatility of most of the products, the industry’s high level of fragmentation and the substantial cost that pulp and paper represent to end users, pulp and paper represents an excellent market for Net Works to implement its technology. </w:t>
      </w:r>
    </w:p>
    <w:p>
      <w:pPr>
        <w:pStyle w:val="03BodyText"/>
        <w:ind w:hanging="0" w:start="0" w:end="0"/>
        <w:rPr>
          <w:rFonts w:ascii="Times New Roman" w:hAnsi="Times New Roman" w:cs="Times New Roman"/>
          <w:sz w:val="16"/>
        </w:rPr>
      </w:pPr>
      <w:r>
        <w:rPr>
          <w:rFonts w:cs="Times New Roman" w:ascii="Times New Roman" w:hAnsi="Times New Roman"/>
          <w:sz w:val="16"/>
        </w:rPr>
      </w:r>
    </w:p>
    <w:p>
      <w:pPr>
        <w:pStyle w:val="JustifiedBody"/>
        <w:spacing w:before="120" w:after="120"/>
        <w:rPr/>
      </w:pPr>
      <w:r>
        <w:rPr/>
        <w:t>While paper companies have gone to great efforts to differentiate and brand their products, the pulp and paper business is fundamentally a commodity industry.  Prices for key pulp and paper grades are typically driven by supply and demand fundamentals.  Short-term prices can be quite volatile as they are impacted by inventory levels, consumption, and general economic and environmental conditions.  The following charts illustrate price volatility for the major benchmark pulp and printing product markets over the past five years.</w:t>
      </w:r>
    </w:p>
    <w:tbl>
      <w:tblPr>
        <w:tblW w:w="9450" w:type="dxa"/>
        <w:jc w:val="start"/>
        <w:tblInd w:w="108" w:type="dxa"/>
        <w:tblLayout w:type="fixed"/>
        <w:tblCellMar>
          <w:top w:w="0" w:type="dxa"/>
          <w:start w:w="108" w:type="dxa"/>
          <w:bottom w:w="0" w:type="dxa"/>
          <w:end w:w="108" w:type="dxa"/>
        </w:tblCellMar>
      </w:tblPr>
      <w:tblGrid>
        <w:gridCol w:w="4725"/>
        <w:gridCol w:w="4725"/>
      </w:tblGrid>
      <w:tr>
        <w:trPr>
          <w:trHeight w:val="400" w:hRule="exact"/>
        </w:trPr>
        <w:tc>
          <w:tcPr>
            <w:tcW w:w="9450" w:type="dxa"/>
            <w:gridSpan w:val="2"/>
            <w:tcBorders>
              <w:top w:val="single" w:sz="4" w:space="0" w:color="000000"/>
              <w:start w:val="single" w:sz="4" w:space="0" w:color="000000"/>
              <w:end w:val="single" w:sz="4" w:space="0" w:color="000000"/>
            </w:tcBorders>
            <w:shd w:fill="0000FF" w:val="clear"/>
          </w:tcPr>
          <w:p>
            <w:pPr>
              <w:pStyle w:val="JustifiedBody"/>
              <w:keepNext w:val="true"/>
              <w:spacing w:before="60" w:after="60"/>
              <w:ind w:start="360" w:end="0"/>
              <w:jc w:val="center"/>
              <w:rPr>
                <w:b/>
                <w:smallCaps/>
                <w:color w:val="FFFFFF"/>
              </w:rPr>
            </w:pPr>
            <w:r>
              <w:rPr>
                <w:b/>
                <w:smallCaps/>
                <w:color w:val="FFFFFF"/>
              </w:rPr>
              <w:t>Volatility of Pulp and Paper Markets</w:t>
            </w:r>
          </w:p>
        </w:tc>
      </w:tr>
      <w:tr>
        <w:trPr/>
        <w:tc>
          <w:tcPr>
            <w:tcW w:w="4725" w:type="dxa"/>
            <w:tcBorders>
              <w:start w:val="single" w:sz="4" w:space="0" w:color="000000"/>
            </w:tcBorders>
          </w:tcPr>
          <w:p>
            <w:pPr>
              <w:pStyle w:val="Normal"/>
              <w:numPr>
                <w:ilvl w:val="0"/>
                <w:numId w:val="0"/>
              </w:numPr>
              <w:pBdr>
                <w:bottom w:val="single" w:sz="4" w:space="1" w:color="000000"/>
              </w:pBdr>
              <w:spacing w:before="60" w:after="60"/>
              <w:ind w:start="162" w:end="117"/>
              <w:jc w:val="center"/>
              <w:outlineLvl w:val="0"/>
              <w:rPr>
                <w:b/>
                <w:sz w:val="22"/>
              </w:rPr>
            </w:pPr>
            <w:r>
              <w:rPr>
                <w:b/>
                <w:sz w:val="22"/>
              </w:rPr>
              <w:t>Pulp</w:t>
            </w:r>
          </w:p>
        </w:tc>
        <w:tc>
          <w:tcPr>
            <w:tcW w:w="4725" w:type="dxa"/>
            <w:tcBorders>
              <w:end w:val="single" w:sz="4" w:space="0" w:color="000000"/>
            </w:tcBorders>
          </w:tcPr>
          <w:p>
            <w:pPr>
              <w:pStyle w:val="Normal"/>
              <w:numPr>
                <w:ilvl w:val="0"/>
                <w:numId w:val="0"/>
              </w:numPr>
              <w:pBdr>
                <w:bottom w:val="single" w:sz="4" w:space="1" w:color="000000"/>
              </w:pBdr>
              <w:spacing w:before="60" w:after="60"/>
              <w:ind w:start="117" w:end="162"/>
              <w:jc w:val="center"/>
              <w:outlineLvl w:val="0"/>
              <w:rPr>
                <w:b/>
                <w:sz w:val="22"/>
              </w:rPr>
            </w:pPr>
            <w:r>
              <w:rPr>
                <w:b/>
                <w:sz w:val="22"/>
              </w:rPr>
              <w:t>Printing</w:t>
            </w:r>
          </w:p>
        </w:tc>
      </w:tr>
      <w:tr>
        <w:trPr>
          <w:trHeight w:val="243" w:hRule="atLeast"/>
        </w:trPr>
        <w:tc>
          <w:tcPr>
            <w:tcW w:w="4725" w:type="dxa"/>
            <w:tcBorders>
              <w:start w:val="single" w:sz="4" w:space="0" w:color="000000"/>
            </w:tcBorders>
            <w:vAlign w:val="bottom"/>
          </w:tcPr>
          <w:p>
            <w:pPr>
              <w:pStyle w:val="Normal"/>
              <w:numPr>
                <w:ilvl w:val="0"/>
                <w:numId w:val="0"/>
              </w:numPr>
              <w:outlineLvl w:val="0"/>
              <w:rPr>
                <w:sz w:val="16"/>
              </w:rPr>
            </w:pPr>
            <w:r>
              <w:rPr>
                <w:i/>
                <w:sz w:val="16"/>
              </w:rPr>
              <w:t xml:space="preserve">($ per ton) </w:t>
            </w:r>
          </w:p>
        </w:tc>
        <w:tc>
          <w:tcPr>
            <w:tcW w:w="4725" w:type="dxa"/>
            <w:tcBorders>
              <w:end w:val="single" w:sz="4" w:space="0" w:color="000000"/>
            </w:tcBorders>
          </w:tcPr>
          <w:p>
            <w:pPr>
              <w:pStyle w:val="Normal"/>
              <w:numPr>
                <w:ilvl w:val="0"/>
                <w:numId w:val="0"/>
              </w:numPr>
              <w:snapToGrid w:val="false"/>
              <w:outlineLvl w:val="0"/>
              <w:rPr>
                <w:sz w:val="16"/>
              </w:rPr>
            </w:pPr>
            <w:r>
              <w:rPr>
                <w:sz w:val="16"/>
              </w:rPr>
            </w:r>
          </w:p>
        </w:tc>
      </w:tr>
      <w:tr>
        <w:trPr>
          <w:trHeight w:val="2799" w:hRule="atLeast"/>
        </w:trPr>
        <w:tc>
          <w:tcPr>
            <w:tcW w:w="4725" w:type="dxa"/>
            <w:tcBorders>
              <w:start w:val="single" w:sz="4" w:space="0" w:color="000000"/>
              <w:bottom w:val="single" w:sz="4" w:space="0" w:color="000000"/>
            </w:tcBorders>
          </w:tcPr>
          <w:p>
            <w:pPr>
              <w:pStyle w:val="Normal"/>
              <w:numPr>
                <w:ilvl w:val="0"/>
                <w:numId w:val="0"/>
              </w:numPr>
              <w:spacing w:before="120" w:after="120"/>
              <w:ind w:hanging="346" w:start="346" w:end="0"/>
              <w:jc w:val="center"/>
              <w:outlineLvl w:val="0"/>
              <w:rPr>
                <w:i/>
                <w:i/>
                <w:sz w:val="16"/>
              </w:rPr>
            </w:pPr>
            <w:r>
              <w:rPr>
                <w:i/>
                <w:sz w:val="16"/>
              </w:rPr>
              <mc:AlternateContent>
                <mc:Choice Requires="wps">
                  <w:drawing>
                    <wp:anchor behindDoc="0" distT="0" distB="0" distL="114935" distR="114935" simplePos="0" locked="0" layoutInCell="0" allowOverlap="1" relativeHeight="43">
                      <wp:simplePos x="0" y="0"/>
                      <wp:positionH relativeFrom="margin">
                        <wp:posOffset>91440</wp:posOffset>
                      </wp:positionH>
                      <wp:positionV relativeFrom="paragraph">
                        <wp:posOffset>1622425</wp:posOffset>
                      </wp:positionV>
                      <wp:extent cx="1188720" cy="0"/>
                      <wp:effectExtent l="0" t="5080" r="0" b="5080"/>
                      <wp:wrapNone/>
                      <wp:docPr id="30"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27.75pt" to="100.75pt,127.75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2249170" cy="1478280"/>
                  <wp:effectExtent l="0" t="0" r="0" b="0"/>
                  <wp:docPr id="3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 descr="" title=""/>
                          <pic:cNvPicPr>
                            <a:picLocks noChangeAspect="1" noChangeArrowheads="1"/>
                          </pic:cNvPicPr>
                        </pic:nvPicPr>
                        <pic:blipFill>
                          <a:blip r:embed="rId52"/>
                          <a:srcRect l="-12" t="-18" r="-12" b="-18"/>
                          <a:stretch>
                            <a:fillRect/>
                          </a:stretch>
                        </pic:blipFill>
                        <pic:spPr bwMode="auto">
                          <a:xfrm>
                            <a:off x="0" y="0"/>
                            <a:ext cx="2249170" cy="1478280"/>
                          </a:xfrm>
                          <a:prstGeom prst="rect">
                            <a:avLst/>
                          </a:prstGeom>
                          <a:noFill/>
                        </pic:spPr>
                      </pic:pic>
                    </a:graphicData>
                  </a:graphic>
                </wp:inline>
              </w:drawing>
            </w:r>
          </w:p>
          <w:p>
            <w:pPr>
              <w:pStyle w:val="Normal"/>
              <w:numPr>
                <w:ilvl w:val="0"/>
                <w:numId w:val="0"/>
              </w:numPr>
              <w:spacing w:before="60" w:after="120"/>
              <w:ind w:hanging="346" w:start="346" w:end="0"/>
              <w:outlineLvl w:val="0"/>
              <w:rPr>
                <w:sz w:val="8"/>
              </w:rPr>
            </w:pPr>
            <w:r>
              <w:rPr>
                <w:i/>
                <w:sz w:val="16"/>
              </w:rPr>
              <w:t>Source:  Pulp &amp;Paper Week</w:t>
            </w:r>
            <w:r>
              <w:rPr>
                <w:sz w:val="8"/>
                <w:lang w:val="en-CA"/>
              </w:rPr>
              <w:t>.</w:t>
            </w:r>
          </w:p>
        </w:tc>
        <w:tc>
          <w:tcPr>
            <w:tcW w:w="4725" w:type="dxa"/>
            <w:tcBorders>
              <w:bottom w:val="single" w:sz="4" w:space="0" w:color="000000"/>
              <w:end w:val="single" w:sz="4" w:space="0" w:color="000000"/>
            </w:tcBorders>
          </w:tcPr>
          <w:p>
            <w:pPr>
              <w:pStyle w:val="Normal"/>
              <w:numPr>
                <w:ilvl w:val="0"/>
                <w:numId w:val="0"/>
              </w:numPr>
              <w:spacing w:before="120" w:after="0"/>
              <w:ind w:hanging="346" w:start="346" w:end="0"/>
              <w:outlineLvl w:val="0"/>
              <w:rPr>
                <w:sz w:val="16"/>
              </w:rPr>
            </w:pPr>
            <w:r>
              <w:rPr>
                <w:sz w:val="8"/>
              </w:rPr>
              <w:object w:dxaOrig="4846" w:dyaOrig="3181">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83.65pt;height:121.65pt" filled="f" o:ole="">
                  <v:imagedata r:id="rId54" o:title=""/>
                </v:shape>
                <o:OLEObject Type="Embed" ProgID="" ShapeID="ole_rId53" DrawAspect="Content" ObjectID="_1734473751" r:id="rId53"/>
              </w:object>
            </w:r>
          </w:p>
        </w:tc>
      </w:tr>
    </w:tbl>
    <w:p>
      <w:pPr>
        <w:pStyle w:val="JustifiedBody"/>
        <w:spacing w:before="120" w:after="0"/>
        <w:rPr>
          <w:lang w:val="en-GB"/>
        </w:rPr>
      </w:pPr>
      <w:r>
        <w:rPr>
          <w:lang w:val="en-GB"/>
        </w:rPr>
        <w:t xml:space="preserve">The industry is highly fragmented with the top 10 global producers for most major pulp and paper grades representing less than 35% of the total market.  While each segment has unique drivers, all segments can be characterized by a large number of buyers.  Primary end users of pulp and paper products are typically newspapers, magazine publishers, integrated paper producers and packaging companies for which raw pulp and paper costs are a substantial component of their cost structures. </w:t>
      </w:r>
    </w:p>
    <w:p>
      <w:pPr>
        <w:pStyle w:val="JustifiedBody"/>
        <w:spacing w:before="120" w:after="120"/>
        <w:rPr/>
      </w:pPr>
      <w:r>
        <w:rPr/>
        <w:t>Additionally, the industry is characterized by a large network of brokers engaged in relationship selling which has led to inefficiencies.  With a more transparent market, a newspaper in Denver who might ordinarily buy newsprint from a broker and end up taking delivery and paying shipping charges from a mill in Canada could locate and purchase the same quality product from a regional producer.  This would represent substantial cost savings for consumers of pulp and paper, given the significant transportation costs involved in shipping pulp and paper products.</w:t>
      </w:r>
    </w:p>
    <w:p>
      <w:pPr>
        <w:pStyle w:val="JustifiedBody"/>
        <w:rPr/>
      </w:pPr>
      <w:r>
        <w:rPr/>
        <w:t>Currently, the spot market for paper accounts for 15% of paper volumes sold, with a higher percentage for market pulp and high quality wood products.  Enron believes the creation of a more liquid trading market should lead to widespread back-office, sales and distribution function streamlining, which should ultimately lead to higher volume and the opportunity for Net Works to structure higher margin long-term contracts.</w:t>
      </w:r>
    </w:p>
    <w:p>
      <w:pPr>
        <w:pStyle w:val="Normal"/>
        <w:numPr>
          <w:ilvl w:val="0"/>
          <w:numId w:val="0"/>
        </w:numPr>
        <w:spacing w:before="60" w:after="60"/>
        <w:outlineLvl w:val="0"/>
        <w:rPr>
          <w:b/>
          <w:sz w:val="24"/>
        </w:rPr>
      </w:pPr>
      <w:r>
        <w:rPr>
          <w:b/>
          <w:sz w:val="24"/>
        </w:rPr>
        <w:t>Lumber</w:t>
      </w:r>
    </w:p>
    <w:p>
      <w:pPr>
        <w:pStyle w:val="JustifiedBody"/>
        <w:rPr/>
      </w:pPr>
      <w:r>
        <w:rPr/>
      </w:r>
    </w:p>
    <w:p>
      <w:pPr>
        <w:pStyle w:val="Normal"/>
        <w:numPr>
          <w:ilvl w:val="0"/>
          <w:numId w:val="0"/>
        </w:numPr>
        <w:spacing w:before="60" w:after="60"/>
        <w:outlineLvl w:val="0"/>
        <w:rPr>
          <w:b/>
          <w:sz w:val="24"/>
        </w:rPr>
      </w:pPr>
      <w:r>
        <w:rPr>
          <w:b/>
          <w:sz w:val="24"/>
        </w:rPr>
        <w:t>Steel</w:t>
      </w:r>
    </w:p>
    <w:p>
      <w:pPr>
        <w:pStyle w:val="JustifiedBody"/>
        <w:rPr/>
      </w:pPr>
      <w:r>
        <w:rPr/>
        <w:t>The global steel market, including scrap steel and the [intermediate] market, is approximately $600 billion.  According to a June 2000 Morgan Stanley report, 50% of spot steel sales in the U.S., Japan and Europe, or $32 billion will be conducted online by 2001 compared to approximately $150 million in 1999.  Enron believes this large highly fragmented market characterized by commodity like product, a complex selling and distribution system, and price volatility represent another ideal target market for Net Works.</w:t>
      </w:r>
    </w:p>
    <w:p>
      <w:pPr>
        <w:pStyle w:val="JustifiedBody"/>
        <w:rPr/>
      </w:pPr>
      <w:r>
        <w:rPr/>
        <w:t>While there are numerous variations of products sold in the global steel market including hot and cold rolled sheet, wire rod and wire, rebar, plate, galvanized steel and tube, steel has become commoditized whereby end-users have become relatively indifferent as to who supplies these products.  Manufacturers who use steel in their production processes are typically concerned about maintaining guaranteed delivery at a known price.</w:t>
      </w:r>
    </w:p>
    <w:p>
      <w:pPr>
        <w:pStyle w:val="JustifiedBody"/>
        <w:rPr/>
      </w:pPr>
      <w:r>
        <w:rPr/>
        <w:t>The industry lacks price transparency, which compounds buyer uncertainty in light of high price volatility.  Uncertainty on the part of suppliers leads to the need for inventory buffers which could be more easily established if participants had access to real-time prices.  Major automakers, one of the largest consumers of steel, have demonstrated superior bargaining power relative to their steel mill and steel service center suppliers and have negotiated fixed price contracts with their suppliers.  These suppliers have become price takers who take on the bulk of volatility in steel prices.  Nevertheless, steel represents a very large component of auto manufacturers’ costs.  Industry experts expect online marketplaces to reduce uncertainty for both buyers and sellers of steel.</w:t>
      </w:r>
    </w:p>
    <w:p>
      <w:pPr>
        <w:pStyle w:val="ParagraphHeading"/>
        <w:spacing w:before="20" w:after="20"/>
        <w:ind w:hanging="18" w:end="0"/>
        <w:outlineLvl w:val="0"/>
        <w:rPr>
          <w:b w:val="false"/>
          <w:caps w:val="false"/>
          <w:smallCaps w:val="false"/>
          <w:sz w:val="22"/>
        </w:rPr>
      </w:pPr>
      <w:r>
        <w:rPr>
          <w:b w:val="false"/>
          <w:caps w:val="false"/>
          <w:smallCaps w:val="false"/>
          <w:sz w:val="22"/>
        </w:rPr>
        <w:t>The domestic steel industry is very fragmented, with at least 70 producers, several thousand intermediaries (either metals traders or service centers), and hundreds of buyers.  As a result, the industry’s value chain is highly inefficient.  Manufacturers deal with service centers in order to cut down on the number of customers they have to deal with.  Transportation costs for steel scrap, which represent nearly 20% of a minimills cost and 7% of an integrated mills costs.</w:t>
      </w:r>
    </w:p>
    <w:p>
      <w:pPr>
        <w:pStyle w:val="JustifiedBody"/>
        <w:spacing w:before="120" w:after="60"/>
        <w:rPr/>
      </w:pPr>
      <w:r>
        <w:rPr/>
        <w:t>Initially, Net Works can achieve higher profits from the sale of secondary steel products through disintermediation of the middleman, with future long term profits accruing to Net Works based on developing relationships with both buyers and sellers.  By reducing the amount of paperwork involved in processing steel transactions and improved coordination of the shipping process, there is significant opportunity for Net Works to increase market efficiency.  Further, Net Works ability to provide more accurate market demand information will improve the ability to serve both large and small customers in the global market.</w:t>
      </w:r>
    </w:p>
    <w:p>
      <w:pPr>
        <w:pStyle w:val="ParagraphHeading"/>
        <w:spacing w:before="20" w:after="20"/>
        <w:ind w:hanging="18" w:end="0"/>
        <w:outlineLvl w:val="0"/>
        <w:rPr>
          <w:b w:val="false"/>
          <w:caps w:val="false"/>
          <w:smallCaps w:val="false"/>
          <w:sz w:val="22"/>
        </w:rPr>
      </w:pPr>
      <w:r>
        <w:rPr>
          <w:b w:val="false"/>
          <w:caps w:val="false"/>
          <w:smallCaps w:val="false"/>
          <w:sz w:val="22"/>
        </w:rPr>
      </w:r>
    </w:p>
    <w:tbl>
      <w:tblPr>
        <w:tblW w:w="9360" w:type="dxa"/>
        <w:jc w:val="start"/>
        <w:tblInd w:w="108" w:type="dxa"/>
        <w:tblLayout w:type="fixed"/>
        <w:tblCellMar>
          <w:top w:w="0" w:type="dxa"/>
          <w:start w:w="108" w:type="dxa"/>
          <w:bottom w:w="0" w:type="dxa"/>
          <w:end w:w="108" w:type="dxa"/>
        </w:tblCellMar>
      </w:tblPr>
      <w:tblGrid>
        <w:gridCol w:w="4725"/>
        <w:gridCol w:w="4635"/>
      </w:tblGrid>
      <w:tr>
        <w:trPr/>
        <w:tc>
          <w:tcPr>
            <w:tcW w:w="9360" w:type="dxa"/>
            <w:gridSpan w:val="2"/>
            <w:tcBorders>
              <w:start w:val="single" w:sz="4" w:space="0" w:color="000000"/>
              <w:end w:val="single" w:sz="4" w:space="0" w:color="000000"/>
            </w:tcBorders>
            <w:shd w:fill="000000" w:val="clear"/>
          </w:tcPr>
          <w:p>
            <w:pPr>
              <w:pStyle w:val="JustifiedBody"/>
              <w:spacing w:before="120" w:after="120"/>
              <w:ind w:start="360" w:end="0"/>
              <w:jc w:val="center"/>
              <w:rPr>
                <w:b/>
                <w:smallCaps/>
                <w:color w:val="FFFFFF"/>
              </w:rPr>
            </w:pPr>
            <w:r>
              <w:rPr>
                <w:b/>
                <w:smallCaps/>
                <w:color w:val="FFFFFF"/>
              </w:rPr>
              <w:t>E-Commerce Efficiency Forecast</w:t>
            </w:r>
          </w:p>
        </w:tc>
      </w:tr>
      <w:tr>
        <w:trPr/>
        <w:tc>
          <w:tcPr>
            <w:tcW w:w="4725" w:type="dxa"/>
            <w:tcBorders>
              <w:start w:val="single" w:sz="4" w:space="0" w:color="000000"/>
            </w:tcBorders>
          </w:tcPr>
          <w:p>
            <w:pPr>
              <w:pStyle w:val="Normal"/>
              <w:numPr>
                <w:ilvl w:val="0"/>
                <w:numId w:val="0"/>
              </w:numPr>
              <w:pBdr>
                <w:bottom w:val="single" w:sz="4" w:space="1" w:color="000000"/>
              </w:pBdr>
              <w:spacing w:before="120" w:after="0"/>
              <w:ind w:start="162" w:end="117"/>
              <w:jc w:val="center"/>
              <w:outlineLvl w:val="0"/>
              <w:rPr>
                <w:b/>
                <w:sz w:val="22"/>
              </w:rPr>
            </w:pPr>
            <w:r>
              <w:rPr>
                <w:b/>
                <w:sz w:val="22"/>
              </w:rPr>
              <w:t xml:space="preserve">Reduced Overhead </w:t>
            </w:r>
          </w:p>
        </w:tc>
        <w:tc>
          <w:tcPr>
            <w:tcW w:w="4635" w:type="dxa"/>
            <w:tcBorders>
              <w:end w:val="single" w:sz="4" w:space="0" w:color="000000"/>
            </w:tcBorders>
          </w:tcPr>
          <w:p>
            <w:pPr>
              <w:pStyle w:val="Normal"/>
              <w:numPr>
                <w:ilvl w:val="0"/>
                <w:numId w:val="0"/>
              </w:numPr>
              <w:pBdr>
                <w:bottom w:val="single" w:sz="4" w:space="1" w:color="000000"/>
              </w:pBdr>
              <w:spacing w:before="120" w:after="0"/>
              <w:ind w:start="117" w:end="162"/>
              <w:jc w:val="center"/>
              <w:outlineLvl w:val="0"/>
              <w:rPr>
                <w:b/>
                <w:sz w:val="22"/>
              </w:rPr>
            </w:pPr>
            <w:r>
              <w:rPr>
                <w:b/>
                <w:sz w:val="22"/>
              </w:rPr>
              <w:t>Lower SG &amp; A</w:t>
            </w:r>
          </w:p>
        </w:tc>
      </w:tr>
      <w:tr>
        <w:trPr>
          <w:trHeight w:val="4644" w:hRule="atLeast"/>
        </w:trPr>
        <w:tc>
          <w:tcPr>
            <w:tcW w:w="4725" w:type="dxa"/>
            <w:tcBorders>
              <w:start w:val="single" w:sz="4" w:space="0" w:color="000000"/>
            </w:tcBorders>
            <w:vAlign w:val="center"/>
          </w:tcPr>
          <w:p>
            <w:pPr>
              <w:pStyle w:val="Normal"/>
              <w:numPr>
                <w:ilvl w:val="0"/>
                <w:numId w:val="0"/>
              </w:numPr>
              <w:jc w:val="center"/>
              <w:outlineLvl w:val="0"/>
              <w:rPr>
                <w:sz w:val="12"/>
              </w:rPr>
            </w:pPr>
            <w:r>
              <w:rPr>
                <w:lang w:val="en-CA"/>
              </w:rPr>
              <w:drawing>
                <wp:inline distT="0" distB="0" distL="0" distR="0">
                  <wp:extent cx="2550795" cy="2716530"/>
                  <wp:effectExtent l="0" t="0" r="0" b="0"/>
                  <wp:docPr id="3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 descr="" title=""/>
                          <pic:cNvPicPr>
                            <a:picLocks noChangeAspect="1" noChangeArrowheads="1"/>
                          </pic:cNvPicPr>
                        </pic:nvPicPr>
                        <pic:blipFill>
                          <a:blip r:embed="rId55"/>
                          <a:srcRect l="-9" t="-8" r="-9" b="-8"/>
                          <a:stretch>
                            <a:fillRect/>
                          </a:stretch>
                        </pic:blipFill>
                        <pic:spPr bwMode="auto">
                          <a:xfrm>
                            <a:off x="0" y="0"/>
                            <a:ext cx="2550795" cy="2716530"/>
                          </a:xfrm>
                          <a:prstGeom prst="rect">
                            <a:avLst/>
                          </a:prstGeom>
                          <a:noFill/>
                        </pic:spPr>
                      </pic:pic>
                    </a:graphicData>
                  </a:graphic>
                </wp:inline>
              </w:drawing>
              <mc:AlternateContent>
                <mc:Choice Requires="wps">
                  <w:drawing>
                    <wp:anchor behindDoc="0" distT="0" distB="0" distL="114935" distR="114935" simplePos="0" locked="0" layoutInCell="0" allowOverlap="1" relativeHeight="44">
                      <wp:simplePos x="0" y="0"/>
                      <wp:positionH relativeFrom="margin">
                        <wp:posOffset>91440</wp:posOffset>
                      </wp:positionH>
                      <wp:positionV relativeFrom="paragraph">
                        <wp:posOffset>2892425</wp:posOffset>
                      </wp:positionV>
                      <wp:extent cx="1470660" cy="0"/>
                      <wp:effectExtent l="0" t="5080" r="0" b="5080"/>
                      <wp:wrapNone/>
                      <wp:docPr id="33" name=""/>
                      <a:graphic xmlns:a="http://schemas.openxmlformats.org/drawingml/2006/main">
                        <a:graphicData uri="http://schemas.microsoft.com/office/word/2010/wordprocessingShape">
                          <wps:wsp>
                            <wps:cNvSpPr/>
                            <wps:spPr>
                              <a:xfrm>
                                <a:off x="0" y="0"/>
                                <a:ext cx="1470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227.75pt" to="122.95pt,227.75pt" stroked="t" o:allowincell="f" style="position:absolute;mso-position-horizontal-relative:margin">
                      <v:stroke color="black" weight="9360" joinstyle="miter" endcap="flat"/>
                      <v:fill o:detectmouseclick="t" on="false"/>
                      <w10:wrap type="none"/>
                    </v:line>
                  </w:pict>
                </mc:Fallback>
              </mc:AlternateContent>
            </w:r>
          </w:p>
        </w:tc>
        <w:tc>
          <w:tcPr>
            <w:tcW w:w="4635" w:type="dxa"/>
            <w:tcBorders>
              <w:end w:val="single" w:sz="4" w:space="0" w:color="000000"/>
            </w:tcBorders>
            <w:vAlign w:val="center"/>
          </w:tcPr>
          <w:p>
            <w:pPr>
              <w:pStyle w:val="Normal"/>
              <w:numPr>
                <w:ilvl w:val="0"/>
                <w:numId w:val="0"/>
              </w:numPr>
              <w:outlineLvl w:val="0"/>
              <w:rPr>
                <w:sz w:val="12"/>
              </w:rPr>
            </w:pPr>
            <w:r>
              <w:rPr>
                <w:lang w:val="en-CA"/>
              </w:rPr>
              <w:drawing>
                <wp:inline distT="0" distB="0" distL="0" distR="0">
                  <wp:extent cx="2577465" cy="2834640"/>
                  <wp:effectExtent l="0" t="0" r="0" b="0"/>
                  <wp:docPr id="34"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 descr="" title=""/>
                          <pic:cNvPicPr>
                            <a:picLocks noChangeAspect="1" noChangeArrowheads="1"/>
                          </pic:cNvPicPr>
                        </pic:nvPicPr>
                        <pic:blipFill>
                          <a:blip r:embed="rId56"/>
                          <a:srcRect l="-9" t="-8" r="-9" b="-8"/>
                          <a:stretch>
                            <a:fillRect/>
                          </a:stretch>
                        </pic:blipFill>
                        <pic:spPr bwMode="auto">
                          <a:xfrm>
                            <a:off x="0" y="0"/>
                            <a:ext cx="2577465" cy="2834640"/>
                          </a:xfrm>
                          <a:prstGeom prst="rect">
                            <a:avLst/>
                          </a:prstGeom>
                          <a:noFill/>
                        </pic:spPr>
                      </pic:pic>
                    </a:graphicData>
                  </a:graphic>
                </wp:inline>
              </w:drawing>
            </w:r>
          </w:p>
        </w:tc>
      </w:tr>
      <w:tr>
        <w:trPr>
          <w:trHeight w:val="180" w:hRule="atLeast"/>
        </w:trPr>
        <w:tc>
          <w:tcPr>
            <w:tcW w:w="9360" w:type="dxa"/>
            <w:gridSpan w:val="2"/>
            <w:tcBorders>
              <w:start w:val="single" w:sz="4" w:space="0" w:color="000000"/>
              <w:bottom w:val="single" w:sz="4" w:space="0" w:color="000000"/>
              <w:end w:val="single" w:sz="4" w:space="0" w:color="000000"/>
            </w:tcBorders>
          </w:tcPr>
          <w:p>
            <w:pPr>
              <w:pStyle w:val="Normal"/>
              <w:numPr>
                <w:ilvl w:val="0"/>
                <w:numId w:val="0"/>
              </w:numPr>
              <w:spacing w:before="0" w:after="120"/>
              <w:ind w:hanging="346" w:start="346" w:end="0"/>
              <w:outlineLvl w:val="0"/>
              <w:rPr>
                <w:sz w:val="16"/>
              </w:rPr>
            </w:pPr>
            <w:r>
              <w:rPr>
                <w:i/>
                <w:sz w:val="16"/>
              </w:rPr>
              <w:t>Source:World Steel Dynamics:  eCommerce in Steel dated June 20, 2000.</w:t>
            </w:r>
          </w:p>
        </w:tc>
      </w:tr>
    </w:tbl>
    <w:p>
      <w:pPr>
        <w:pStyle w:val="JustifiedBody"/>
        <w:spacing w:before="120" w:after="60"/>
        <w:rPr/>
      </w:pPr>
      <w:r>
        <w:rPr/>
      </w:r>
    </w:p>
    <w:p>
      <w:pPr>
        <w:pStyle w:val="Heading4"/>
        <w:spacing w:lineRule="auto" w:line="240" w:before="120" w:after="60"/>
        <w:ind w:hanging="0" w:start="0"/>
        <w:rPr/>
      </w:pPr>
      <w:r>
        <w:rPr>
          <w:smallCaps/>
          <w:highlight w:val="yellow"/>
        </w:rPr>
        <w:t>Acquisition of MG plc</w:t>
      </w:r>
      <w:r>
        <w:rPr>
          <w:smallCaps/>
        </w:rPr>
        <w:t xml:space="preserve"> </w:t>
      </w:r>
    </w:p>
    <w:p>
      <w:pPr>
        <w:pStyle w:val="JustifiedBody"/>
        <w:rPr/>
      </w:pPr>
      <w:r>
        <w:rPr/>
        <w:t>On May 22, 2000, Enron announced a cash offer to acquire the shares of London-based MG plc, the world's leading publicly traded metals marketer.  The offer, which has been unanimously recommended by MG plc's board of directors, values the outstanding shares of the company at $446 million.  The transaction is expected to close following shareholder and customary regulatory approvals by the third quarter of 2000.</w:t>
      </w:r>
    </w:p>
    <w:p>
      <w:pPr>
        <w:pStyle w:val="JustifiedBody"/>
        <w:rPr/>
      </w:pPr>
      <w:r>
        <w:rPr/>
        <w:t>MG plc is a leading international metals market-making business providing merchanting (approximately 35% of business) and financial (approximately 65% of business) services to the global metals industry.  In September 1999, MG plc floated on the London Stock Exchange (ticker: MGA) at an issue price of 205p per share, comprising substantially all of the former metals trading businesses of the German industrial group, MG Technologies AG (formerly Metallgesellschaft AG).  MG plc's recognized market-making capabilities and excellent domain expertise provide an immediate platform upon which to overlay Enron's business model.  MG plc is headquartered in London and employs 330 people in 14 countries.  MG plc is organized into two operating divisions: Merchanting and Financial Services.</w:t>
      </w:r>
    </w:p>
    <w:p>
      <w:pPr>
        <w:pStyle w:val="JustifiedBody"/>
        <w:numPr>
          <w:ilvl w:val="0"/>
          <w:numId w:val="0"/>
        </w:numPr>
        <w:outlineLvl w:val="0"/>
        <w:rPr>
          <w:b/>
        </w:rPr>
      </w:pPr>
      <w:r>
        <w:rPr>
          <w:b/>
        </w:rPr>
      </w:r>
    </w:p>
    <w:p>
      <w:pPr>
        <w:pStyle w:val="JustifiedBody"/>
        <w:numPr>
          <w:ilvl w:val="0"/>
          <w:numId w:val="0"/>
        </w:numPr>
        <w:outlineLvl w:val="0"/>
        <w:rPr>
          <w:b/>
        </w:rPr>
      </w:pPr>
      <w:r>
        <w:rPr>
          <w:b/>
        </w:rPr>
        <w:t>Merchanting</w:t>
      </w:r>
    </w:p>
    <w:p>
      <w:pPr>
        <w:pStyle w:val="JustifiedBody"/>
        <w:rPr/>
      </w:pPr>
      <w:r>
        <w:rPr/>
        <w:t>The Merchanting division is the world’s leading independent copper merchant, one of the world’s top three independent merchants of copper concentrates and nickel and one of the leading European merchants of recycled non-ferrous metals.  The division also trades in aluminum and other non-ferrous metals traded on the LME.  The Merchanting division engages in the following activities:</w:t>
      </w:r>
    </w:p>
    <w:p>
      <w:pPr>
        <w:pStyle w:val="bull1"/>
        <w:numPr>
          <w:ilvl w:val="0"/>
          <w:numId w:val="4"/>
        </w:numPr>
        <w:tabs>
          <w:tab w:val="clear" w:pos="720"/>
          <w:tab w:val="left" w:pos="360" w:leader="none"/>
          <w:tab w:val="left" w:pos="450" w:leader="none"/>
        </w:tabs>
        <w:jc w:val="both"/>
        <w:rPr>
          <w:sz w:val="22"/>
        </w:rPr>
      </w:pPr>
      <w:r>
        <w:rPr>
          <w:b/>
          <w:i/>
          <w:sz w:val="22"/>
        </w:rPr>
        <w:t>Merchanting of non-ferrous metals.</w:t>
      </w:r>
      <w:r>
        <w:rPr>
          <w:sz w:val="22"/>
        </w:rPr>
        <w:t xml:space="preserve">  MG plc trades as a principal with producers and consumers of non-ferrous metals and concentrates.  This involves the buying and selling of non-ferrous metals and concentrates (mainly those metals traded on the LME), exchanging qualities and locations and lending and borrowing non-ferrous metals according to customers’ needs.</w:t>
      </w:r>
    </w:p>
    <w:p>
      <w:pPr>
        <w:pStyle w:val="bull1"/>
        <w:numPr>
          <w:ilvl w:val="0"/>
          <w:numId w:val="4"/>
        </w:numPr>
        <w:tabs>
          <w:tab w:val="clear" w:pos="720"/>
          <w:tab w:val="left" w:pos="360" w:leader="none"/>
          <w:tab w:val="left" w:pos="450" w:leader="none"/>
        </w:tabs>
        <w:jc w:val="both"/>
        <w:rPr>
          <w:sz w:val="22"/>
        </w:rPr>
      </w:pPr>
      <w:r>
        <w:rPr>
          <w:b/>
          <w:i/>
          <w:sz w:val="22"/>
        </w:rPr>
        <w:t>Global stockholding.</w:t>
      </w:r>
      <w:r>
        <w:rPr>
          <w:sz w:val="22"/>
        </w:rPr>
        <w:t xml:space="preserve"> MG plc holds stocks of non-ferrous metals worldwide at LME and COMEX warehouses and other locations in order to meet customers’ needs.</w:t>
      </w:r>
    </w:p>
    <w:p>
      <w:pPr>
        <w:pStyle w:val="bull1"/>
        <w:numPr>
          <w:ilvl w:val="0"/>
          <w:numId w:val="4"/>
        </w:numPr>
        <w:tabs>
          <w:tab w:val="clear" w:pos="720"/>
          <w:tab w:val="left" w:pos="360" w:leader="none"/>
          <w:tab w:val="left" w:pos="450" w:leader="none"/>
        </w:tabs>
        <w:jc w:val="both"/>
        <w:rPr>
          <w:sz w:val="22"/>
        </w:rPr>
      </w:pPr>
      <w:r>
        <w:rPr>
          <w:b/>
          <w:i/>
          <w:sz w:val="22"/>
        </w:rPr>
        <w:t>Merchanting of recycled metals.</w:t>
      </w:r>
      <w:r>
        <w:rPr>
          <w:sz w:val="22"/>
        </w:rPr>
        <w:t xml:space="preserve"> MG plc trades as a principal with suppliers and consumers of recycled non-ferrous metals.</w:t>
      </w:r>
    </w:p>
    <w:p>
      <w:pPr>
        <w:pStyle w:val="bull1"/>
        <w:numPr>
          <w:ilvl w:val="0"/>
          <w:numId w:val="4"/>
        </w:numPr>
        <w:tabs>
          <w:tab w:val="clear" w:pos="720"/>
          <w:tab w:val="left" w:pos="360" w:leader="none"/>
          <w:tab w:val="left" w:pos="450" w:leader="none"/>
        </w:tabs>
        <w:jc w:val="both"/>
        <w:rPr>
          <w:sz w:val="22"/>
        </w:rPr>
      </w:pPr>
      <w:r>
        <w:rPr>
          <w:b/>
          <w:i/>
          <w:sz w:val="22"/>
        </w:rPr>
        <w:t>Terminal market operator.</w:t>
      </w:r>
      <w:r>
        <w:rPr>
          <w:sz w:val="22"/>
        </w:rPr>
        <w:t xml:space="preserve">  This division participates in the LME and COMEX markets, via the Financial Services division, for hedging, arbitrage and position management.</w:t>
      </w:r>
    </w:p>
    <w:p>
      <w:pPr>
        <w:pStyle w:val="JustifiedBody"/>
        <w:numPr>
          <w:ilvl w:val="0"/>
          <w:numId w:val="0"/>
        </w:numPr>
        <w:spacing w:before="120" w:after="120"/>
        <w:outlineLvl w:val="0"/>
        <w:rPr>
          <w:b/>
        </w:rPr>
      </w:pPr>
      <w:r>
        <w:rPr>
          <w:b/>
        </w:rPr>
        <w:t>Financial Services</w:t>
      </w:r>
    </w:p>
    <w:p>
      <w:pPr>
        <w:pStyle w:val="JustifiedBody"/>
        <w:rPr/>
      </w:pPr>
      <w:r>
        <w:rPr/>
        <w:t>The Financial Services division is one of the LME’s leading metals brokers and market-makers based on the volume of LME metals stored, and it is also one of the leading LME metals warehousing businesses.  This division engages in the following activities:</w:t>
      </w:r>
    </w:p>
    <w:p>
      <w:pPr>
        <w:pStyle w:val="bull1"/>
        <w:numPr>
          <w:ilvl w:val="0"/>
          <w:numId w:val="4"/>
        </w:numPr>
        <w:tabs>
          <w:tab w:val="clear" w:pos="720"/>
          <w:tab w:val="left" w:pos="360" w:leader="none"/>
          <w:tab w:val="left" w:pos="450" w:leader="none"/>
        </w:tabs>
        <w:jc w:val="both"/>
        <w:rPr>
          <w:sz w:val="22"/>
        </w:rPr>
      </w:pPr>
      <w:r>
        <w:rPr>
          <w:b/>
          <w:i/>
          <w:sz w:val="22"/>
        </w:rPr>
        <w:t>Brokerage and market-making.</w:t>
      </w:r>
      <w:r>
        <w:rPr>
          <w:sz w:val="22"/>
        </w:rPr>
        <w:t xml:space="preserve">  MG plc executes orders as broker for its clients in LME and COMEX contracts and is also a market-maker in LME, COMEX and over-the-counter contracts.</w:t>
      </w:r>
    </w:p>
    <w:p>
      <w:pPr>
        <w:pStyle w:val="bull1"/>
        <w:numPr>
          <w:ilvl w:val="0"/>
          <w:numId w:val="4"/>
        </w:numPr>
        <w:tabs>
          <w:tab w:val="clear" w:pos="720"/>
          <w:tab w:val="left" w:pos="360" w:leader="none"/>
          <w:tab w:val="left" w:pos="450" w:leader="none"/>
        </w:tabs>
        <w:jc w:val="both"/>
        <w:rPr>
          <w:sz w:val="22"/>
        </w:rPr>
      </w:pPr>
      <w:r>
        <w:rPr>
          <w:b/>
          <w:i/>
          <w:sz w:val="22"/>
        </w:rPr>
        <w:t>Metals trading.</w:t>
      </w:r>
      <w:r>
        <w:rPr>
          <w:sz w:val="22"/>
        </w:rPr>
        <w:t xml:space="preserve">  MG plc trades metals futures and options as well as physical metals stocks for its own account, typically on a spread basis.</w:t>
      </w:r>
    </w:p>
    <w:p>
      <w:pPr>
        <w:pStyle w:val="bull1"/>
        <w:numPr>
          <w:ilvl w:val="0"/>
          <w:numId w:val="4"/>
        </w:numPr>
        <w:tabs>
          <w:tab w:val="clear" w:pos="720"/>
          <w:tab w:val="left" w:pos="360" w:leader="none"/>
          <w:tab w:val="left" w:pos="450" w:leader="none"/>
        </w:tabs>
        <w:jc w:val="both"/>
        <w:rPr>
          <w:smallCaps/>
        </w:rPr>
      </w:pPr>
      <w:r>
        <w:rPr>
          <w:b/>
          <w:i/>
          <w:sz w:val="22"/>
        </w:rPr>
        <w:t>Warehousing.</w:t>
      </w:r>
      <w:r>
        <w:rPr>
          <w:sz w:val="22"/>
        </w:rPr>
        <w:t xml:space="preserve">  MG plc stores metals, cocoa and general goods in warehouses in Europe, the Americas and Asia.</w:t>
      </w:r>
    </w:p>
    <w:p>
      <w:pPr>
        <w:pStyle w:val="Heading4"/>
        <w:spacing w:lineRule="auto" w:line="240" w:before="240" w:after="60"/>
        <w:ind w:hanging="0" w:start="0"/>
        <w:rPr>
          <w:smallCaps/>
        </w:rPr>
      </w:pPr>
      <w:r>
        <w:rPr>
          <w:smallCaps/>
        </w:rPr>
        <w:t>Garden State Paper Company, Inc.</w:t>
      </w:r>
    </w:p>
    <w:p>
      <w:pPr>
        <w:pStyle w:val="JustifiedBody"/>
        <w:rPr/>
      </w:pPr>
      <w:r>
        <w:rPr/>
        <w:t xml:space="preserve">Enron North America Corp. intends to sign a purchase contracts to acquire all of the equity interests of Garden State Paper Company for approximately $74 million, subject to post-closing purchase price adjustments, from Media General, Inc.  Garden State owns a recycled newsprint mill located in Garfield, New Jersey and various recycling centers in northern New Jersey and southern New York State.  As part of the transaction, Media General will also enter into a long-term financial swap agreement with Enron to hedge the future price of newsprint.  The transactions presents a valuable strategic opportunity to Enron by giving it access to over 200,000 tons per year of physical newsprint in a desirable geographic location.  Enron also intends to enter into a multi-year O&amp;M agreement with a third party operator (AGRA Simons Ltd.) for Garden State’s mill and recycling facilities. </w:t>
      </w:r>
    </w:p>
    <w:p>
      <w:pPr>
        <w:sectPr>
          <w:type w:val="continuous"/>
          <w:pgSz w:w="12240" w:h="15840"/>
          <w:pgMar w:left="1440" w:right="1440" w:gutter="0" w:header="432" w:top="1350" w:footer="720" w:bottom="1440"/>
          <w:formProt w:val="false"/>
          <w:textDirection w:val="lrTb"/>
          <w:docGrid w:type="default" w:linePitch="360" w:charSpace="0"/>
        </w:sectPr>
      </w:pPr>
    </w:p>
    <w:p>
      <w:pPr>
        <w:pStyle w:val="Heading4"/>
        <w:spacing w:lineRule="auto" w:line="240" w:before="120" w:after="60"/>
        <w:ind w:hanging="0" w:start="0"/>
        <w:rPr>
          <w:smallCaps/>
        </w:rPr>
      </w:pPr>
      <w:bookmarkStart w:id="8" w:name="_Ref489097626"/>
      <w:r>
        <w:rPr>
          <w:smallCaps/>
        </w:rPr>
        <w:t>Management</w:t>
      </w:r>
      <w:bookmarkEnd w:id="8"/>
    </w:p>
    <w:p>
      <w:pPr>
        <w:pStyle w:val="JustifiedBody"/>
        <w:rPr/>
      </w:pPr>
      <w:r>
        <w:rPr/>
        <w:t xml:space="preserve">Net Works will benefit from the strength and depth of the Enron management team.  Three categories of Enron employees will contribute to the success of Net Works. </w:t>
      </w:r>
      <w:r>
        <w:rPr>
          <w:highlight w:val="yellow"/>
        </w:rPr>
        <w:t xml:space="preserve">(1) Enron is dedicating over 100 employees with substantial Enron experience and eCommerce expertise to the development of the Net Works business. Net Works is a strategic priority for Enron and is perceived by employees as a prestigious and desirable assignment.  Members of this team were selected based on their outstanding employment record.  </w:t>
      </w:r>
      <w:r>
        <w:rPr/>
        <w:t xml:space="preserve">(2) Each Targeted Industry will have dedicated originators and traders.  Key Enron employees who have been involved in implementing the Company’s business model in other industries have been hired, and a number of people will be hired with relevant skills and industry expertise.  Thus, experienced Enron employees will be complemented by those with external perspectives. (3) Employees of the companies acquired by Net Works will report to senior Enron operations management.  The originators and traders associated with each industry will also report to one of these Enron senior executives.  </w:t>
      </w:r>
    </w:p>
    <w:p>
      <w:pPr>
        <w:pStyle w:val="JustifiedBody"/>
        <w:rPr/>
      </w:pPr>
      <w:r>
        <w:rPr/>
        <w:t xml:space="preserve">Additionally, Net Works will benefit from a shared-services arrangement with Enron to obtain all support functions such as accounting, payroll, human resources, legal and tax.  The information technology organization, managed by Phillipe Bibi, will dedicate both full and part time resources (as needed) to Net Works.  The ability to utilize the Enron infrastructure is a cost effective and efficient way to obtain these essential services.  </w:t>
      </w:r>
    </w:p>
    <w:tbl>
      <w:tblPr>
        <w:tblW w:w="9450" w:type="dxa"/>
        <w:jc w:val="start"/>
        <w:tblInd w:w="108" w:type="dxa"/>
        <w:tblLayout w:type="fixed"/>
        <w:tblCellMar>
          <w:top w:w="0" w:type="dxa"/>
          <w:start w:w="108" w:type="dxa"/>
          <w:bottom w:w="0" w:type="dxa"/>
          <w:end w:w="108" w:type="dxa"/>
        </w:tblCellMar>
      </w:tblPr>
      <w:tblGrid>
        <w:gridCol w:w="9450"/>
      </w:tblGrid>
      <w:tr>
        <w:trPr>
          <w:trHeight w:val="400" w:hRule="exact"/>
        </w:trPr>
        <w:tc>
          <w:tcPr>
            <w:tcW w:w="9450" w:type="dxa"/>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sz w:val="24"/>
              </w:rPr>
            </w:pPr>
            <w:r>
              <w:rPr>
                <w:b/>
                <w:smallCaps/>
                <w:color w:val="FFFFFF"/>
                <w:sz w:val="24"/>
              </w:rPr>
              <w:t>Operating Management</w:t>
            </w:r>
          </w:p>
        </w:tc>
      </w:tr>
      <w:tr>
        <w:trPr>
          <w:trHeight w:val="3950" w:hRule="atLeast"/>
        </w:trPr>
        <w:tc>
          <w:tcPr>
            <w:tcW w:w="945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120" w:after="0"/>
              <w:jc w:val="center"/>
              <w:outlineLvl w:val="0"/>
              <w:rPr>
                <w:vanish/>
                <w:color w:val="FF0000"/>
                <w:sz w:val="8"/>
              </w:rPr>
            </w:pPr>
            <w:r>
              <w:rPr/>
              <w:drawing>
                <wp:inline distT="0" distB="0" distL="0" distR="0">
                  <wp:extent cx="4542155" cy="2449830"/>
                  <wp:effectExtent l="0" t="0" r="0" b="0"/>
                  <wp:docPr id="3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7" descr="" title=""/>
                          <pic:cNvPicPr>
                            <a:picLocks noChangeAspect="1" noChangeArrowheads="1"/>
                          </pic:cNvPicPr>
                        </pic:nvPicPr>
                        <pic:blipFill>
                          <a:blip r:embed="rId57"/>
                          <a:srcRect l="-5" t="-10" r="-5" b="-10"/>
                          <a:stretch>
                            <a:fillRect/>
                          </a:stretch>
                        </pic:blipFill>
                        <pic:spPr bwMode="auto">
                          <a:xfrm>
                            <a:off x="0" y="0"/>
                            <a:ext cx="4542155" cy="2449830"/>
                          </a:xfrm>
                          <a:prstGeom prst="rect">
                            <a:avLst/>
                          </a:prstGeom>
                          <a:noFill/>
                        </pic:spPr>
                      </pic:pic>
                    </a:graphicData>
                  </a:graphic>
                </wp:inline>
              </w:drawing>
            </w:r>
            <w:r>
              <w:rPr>
                <w:sz w:val="22"/>
              </w:rPr>
              <w:br/>
            </w:r>
          </w:p>
        </w:tc>
      </w:tr>
    </w:tbl>
    <w:p>
      <w:pPr>
        <w:pStyle w:val="Heading5"/>
        <w:tabs>
          <w:tab w:val="clear" w:pos="720"/>
          <w:tab w:val="left" w:pos="9720" w:leader="none"/>
        </w:tabs>
        <w:spacing w:before="240" w:after="60"/>
        <w:ind w:hanging="0" w:start="0" w:end="547"/>
        <w:jc w:val="start"/>
        <w:rPr>
          <w:sz w:val="22"/>
        </w:rPr>
      </w:pPr>
      <w:r>
        <w:rPr>
          <w:smallCaps/>
        </w:rPr>
        <w:t>Enron Net Works Board of Directors</w:t>
      </w:r>
    </w:p>
    <w:p>
      <w:pPr>
        <w:pStyle w:val="Heading4"/>
        <w:spacing w:lineRule="auto" w:line="240" w:before="60" w:after="0"/>
        <w:ind w:hanging="0" w:start="0"/>
        <w:rPr>
          <w:sz w:val="22"/>
        </w:rPr>
      </w:pPr>
      <w:r>
        <w:rPr>
          <w:sz w:val="22"/>
        </w:rPr>
        <w:t>Greg Whalley</w:t>
      </w:r>
    </w:p>
    <w:p>
      <w:pPr>
        <w:pStyle w:val="Normal"/>
        <w:numPr>
          <w:ilvl w:val="0"/>
          <w:numId w:val="0"/>
        </w:numPr>
        <w:outlineLvl w:val="0"/>
        <w:rPr>
          <w:i/>
          <w:i/>
          <w:sz w:val="22"/>
        </w:rPr>
      </w:pPr>
      <w:r>
        <w:rPr>
          <w:i/>
          <w:sz w:val="22"/>
        </w:rPr>
        <w:t xml:space="preserve">Chairman and Chief Executive Officer </w:t>
      </w:r>
    </w:p>
    <w:p>
      <w:pPr>
        <w:pStyle w:val="Normal"/>
        <w:numPr>
          <w:ilvl w:val="0"/>
          <w:numId w:val="0"/>
        </w:numPr>
        <w:outlineLvl w:val="0"/>
        <w:rPr/>
      </w:pPr>
      <w:r>
        <w:rPr>
          <w:i/>
          <w:sz w:val="22"/>
        </w:rPr>
        <w:t>Enron Net Works</w:t>
      </w:r>
      <w:r>
        <w:rPr>
          <w:sz w:val="22"/>
        </w:rPr>
        <w:t xml:space="preserve"> </w:t>
      </w:r>
    </w:p>
    <w:p>
      <w:pPr>
        <w:pStyle w:val="JustifiedBody"/>
        <w:spacing w:before="0" w:after="0"/>
        <w:rPr/>
      </w:pPr>
      <w:r>
        <w:rPr/>
        <w:t xml:space="preserve">Greg Whalley is Chairman and Chief Executive Officer of Net Works and a member of Enron’s Executive Committee.  Prior to being appointed Chairman and Chief Executive Officer of Net Works, Greg served as President and Chief Operating Officer of Enron North America and Chief Executive Officer of Global Risk Management for Enron.  In 1996, Greg headed the European commodity trading divisions, including crude and refined products.  Greg began his career with Enron in 1992, as an associate in the finance division and later held positions in risk management and natural gas </w:t>
      </w:r>
    </w:p>
    <w:p>
      <w:pPr>
        <w:sectPr>
          <w:headerReference w:type="default" r:id="rId58"/>
          <w:footerReference w:type="default" r:id="rId59"/>
          <w:type w:val="nextPage"/>
          <w:pgSz w:w="12240" w:h="15840"/>
          <w:pgMar w:left="1440" w:right="1440" w:gutter="0" w:header="432" w:top="1350" w:footer="720" w:bottom="1170"/>
          <w:pgNumType w:fmt="decimal"/>
          <w:formProt w:val="false"/>
          <w:textDirection w:val="lrTb"/>
          <w:docGrid w:type="default" w:linePitch="360" w:charSpace="0"/>
        </w:sectPr>
      </w:pPr>
    </w:p>
    <w:p>
      <w:pPr>
        <w:pStyle w:val="JustifiedBody"/>
        <w:spacing w:before="0" w:after="0"/>
        <w:rPr/>
      </w:pPr>
      <w:r>
        <w:rPr/>
        <w:t xml:space="preserve">trading.  Greg received his undergraduate degree from The U.S. Military Academy and his Master’s of Business Administration from the Stanford University Graduate School of Business. </w:t>
      </w:r>
    </w:p>
    <w:p>
      <w:pPr>
        <w:pStyle w:val="Heading4"/>
        <w:spacing w:lineRule="auto" w:line="240" w:before="120" w:after="0"/>
        <w:ind w:hanging="0" w:start="0"/>
        <w:rPr>
          <w:sz w:val="22"/>
        </w:rPr>
      </w:pPr>
      <w:r>
        <w:rPr>
          <w:sz w:val="22"/>
        </w:rPr>
        <w:t>Mike McConnell</w:t>
      </w:r>
    </w:p>
    <w:p>
      <w:pPr>
        <w:pStyle w:val="Normal"/>
        <w:keepNext w:val="true"/>
        <w:numPr>
          <w:ilvl w:val="0"/>
          <w:numId w:val="0"/>
        </w:numPr>
        <w:outlineLvl w:val="0"/>
        <w:rPr>
          <w:i/>
          <w:i/>
          <w:sz w:val="22"/>
        </w:rPr>
      </w:pPr>
      <w:r>
        <w:rPr>
          <w:i/>
          <w:sz w:val="22"/>
        </w:rPr>
        <w:t>Vice Chairman and Chief Operating Officer</w:t>
      </w:r>
    </w:p>
    <w:p>
      <w:pPr>
        <w:pStyle w:val="Normal"/>
        <w:numPr>
          <w:ilvl w:val="0"/>
          <w:numId w:val="0"/>
        </w:numPr>
        <w:outlineLvl w:val="0"/>
        <w:rPr>
          <w:i/>
          <w:i/>
          <w:sz w:val="22"/>
        </w:rPr>
      </w:pPr>
      <w:r>
        <w:rPr>
          <w:i/>
          <w:sz w:val="22"/>
        </w:rPr>
        <w:t>Enron Net Works</w:t>
      </w:r>
    </w:p>
    <w:p>
      <w:pPr>
        <w:pStyle w:val="BodyText"/>
        <w:spacing w:lineRule="auto" w:line="240"/>
        <w:rPr>
          <w:sz w:val="22"/>
        </w:rPr>
      </w:pPr>
      <w:r>
        <w:rPr>
          <w:sz w:val="22"/>
        </w:rPr>
        <w:t xml:space="preserve">Mike McConnell has been Chief Operating Officer for Net Works since April 2000 and a member of Enron’s Executive Committee.  Mike previously was Chief Executive Officer of Global Technology for Enron Corp., where he was responsible for all of Information Technology and eCommerce.  Before moving to Global Technology, Mike was President of Houston Pipe Line Company and Louisiana Resources Company, where he was responsible for Natural Gas and Transmission Assets in North America.  Prior to this, Mike was a Vice President of Enron Europe.  In addition, Mike held positions in the Enron Power Services and Gas Supply areas of Enron.  Mike previously was a member of the Board of Directors for the Houston Energy Association and served as Vice Chairman for the Texas Intrastate Pipeline Association, as well as a member of the Board of Directors for Enron Europe and Teesside Gas Transportation Limited (TGTL – a joint venture between Enron and ICI).  Mike graduated from the University of Oklahoma with a Bachelor of Business Administration in Petroleum Land Management. </w:t>
      </w:r>
    </w:p>
    <w:p>
      <w:pPr>
        <w:pStyle w:val="Normal"/>
        <w:numPr>
          <w:ilvl w:val="0"/>
          <w:numId w:val="0"/>
        </w:numPr>
        <w:spacing w:before="120" w:after="0"/>
        <w:outlineLvl w:val="0"/>
        <w:rPr>
          <w:b/>
          <w:sz w:val="22"/>
        </w:rPr>
      </w:pPr>
      <w:r>
        <w:rPr>
          <w:b/>
          <w:sz w:val="22"/>
        </w:rPr>
        <w:t>Jeff McMahon</w:t>
      </w:r>
    </w:p>
    <w:p>
      <w:pPr>
        <w:pStyle w:val="Normal"/>
        <w:numPr>
          <w:ilvl w:val="0"/>
          <w:numId w:val="0"/>
        </w:numPr>
        <w:outlineLvl w:val="0"/>
        <w:rPr>
          <w:i/>
          <w:i/>
          <w:sz w:val="22"/>
        </w:rPr>
      </w:pPr>
      <w:r>
        <w:rPr>
          <w:i/>
          <w:sz w:val="22"/>
        </w:rPr>
        <w:t>Vice Chairman and Chief Commercial Officer</w:t>
      </w:r>
    </w:p>
    <w:p>
      <w:pPr>
        <w:pStyle w:val="Normal"/>
        <w:numPr>
          <w:ilvl w:val="0"/>
          <w:numId w:val="0"/>
        </w:numPr>
        <w:outlineLvl w:val="0"/>
        <w:rPr>
          <w:i/>
          <w:i/>
          <w:sz w:val="22"/>
        </w:rPr>
      </w:pPr>
      <w:r>
        <w:rPr>
          <w:i/>
          <w:sz w:val="22"/>
        </w:rPr>
        <w:t>Enron Net Works</w:t>
      </w:r>
    </w:p>
    <w:p>
      <w:pPr>
        <w:pStyle w:val="JustifiedBody"/>
        <w:spacing w:before="0" w:after="0"/>
        <w:rPr/>
      </w:pPr>
      <w:r>
        <w:rPr/>
        <w:t>Jeff McMahon is Vice Chairman and Chief Commercial Officer of Net Works, and a member of Enron’s Executive Committee.  Jeff joined Enron in 1994 and spent three years in the London office as Chief Financial Officer for Enron’s European operations.  Upon repatriation to the U.S., Jeff held the position of the Executive Vice President, Finance and Treasurer for Enron.  Prior to joining Enron, Jeff served as Senior Vice President and Chief Financial Officer of MG Natural Gas Corp. in Houston, Texas from 1989 to 1994.  Jeff began his career with Arthur Andersen &amp; Co. in Houston, Texas where he held the position of audit manager in the Energy Division.  Jeff graduated from the University of Richmond in Virginia where he received a Bachelor of Science degree in business.  He is a Certified Public Accountant, SFA registered and is a member of the American Institute of Public Accountants, Texas Society of Public Accountants and Association of Corporate Treasurers.</w:t>
      </w:r>
    </w:p>
    <w:p>
      <w:pPr>
        <w:pStyle w:val="Normal"/>
        <w:numPr>
          <w:ilvl w:val="0"/>
          <w:numId w:val="0"/>
        </w:numPr>
        <w:spacing w:before="120" w:after="0"/>
        <w:outlineLvl w:val="0"/>
        <w:rPr>
          <w:b/>
          <w:sz w:val="22"/>
        </w:rPr>
      </w:pPr>
      <w:r>
        <w:rPr>
          <w:b/>
          <w:sz w:val="22"/>
          <w:highlight w:val="yellow"/>
        </w:rPr>
        <w:t>Mark Frevert</w:t>
      </w:r>
    </w:p>
    <w:p>
      <w:pPr>
        <w:pStyle w:val="Normal"/>
        <w:numPr>
          <w:ilvl w:val="0"/>
          <w:numId w:val="0"/>
        </w:numPr>
        <w:outlineLvl w:val="0"/>
        <w:rPr>
          <w:i/>
          <w:i/>
          <w:sz w:val="22"/>
        </w:rPr>
      </w:pPr>
      <w:r>
        <w:rPr>
          <w:i/>
          <w:sz w:val="22"/>
        </w:rPr>
        <w:t>Chairman and Chief Executive Officer</w:t>
      </w:r>
    </w:p>
    <w:p>
      <w:pPr>
        <w:pStyle w:val="Normal"/>
        <w:numPr>
          <w:ilvl w:val="0"/>
          <w:numId w:val="0"/>
        </w:numPr>
        <w:outlineLvl w:val="0"/>
        <w:rPr>
          <w:i/>
          <w:i/>
          <w:sz w:val="22"/>
        </w:rPr>
      </w:pPr>
      <w:r>
        <w:rPr>
          <w:i/>
          <w:sz w:val="22"/>
        </w:rPr>
        <w:t>Enron North America</w:t>
      </w:r>
    </w:p>
    <w:p>
      <w:pPr>
        <w:pStyle w:val="JustifiedBody"/>
        <w:spacing w:before="0" w:after="0"/>
        <w:rPr/>
      </w:pPr>
      <w:r>
        <w:rPr/>
        <w:t>Mark holds the position of Chairman and Chief Executive Officer of Enron North America and Chairman of Enron Europe.  He is responsible for the development and management of Enron's wholesale energy activities across North America and Europe.  Mark is also a member of the Executive Committee of Enron.  Mark relocated to London as President and Chief Executive Officer of Enron Europe in 1996.  Prior to this relocation, he assumed responsibility for international energy services activities, including Enron's London based operations in late 1994.  Having joined Enron Capital &amp; Trade Resources in 1991 as Vice President of Enron Power Services, Mark was promoted to President in 1993 and became a Managing Director in 1994, with responsibility for North American natural gas marketing activities.  In December 1988, Mark was named Vice President and General Manager of the Citrus Marketing Companies.  In 1984, he joined Houston Natural Gas as a senior economist in the Corporate Planning department, after which he joined the holding company, Enron Interstate Pipeline Group.  Mark began his energy career in 1981, joining Natomas North America, a Houston-based oil and gas exploration and development company, as an economist.  Mark graduated from Albion College in Michigan in 1976 where he earned a Bachelor of Arts degree in economics and mathematics.  He entered the PhD program in economics at Rice University and completed all but the dissertation requirements.  He then taught economics at Rice University for two years before joining Natomas North America in 1981.</w:t>
      </w:r>
      <w:r>
        <w:rPr>
          <w:i/>
        </w:rPr>
        <w:t xml:space="preserve"> </w:t>
      </w:r>
    </w:p>
    <w:p>
      <w:pPr>
        <w:pStyle w:val="JustifiedBody"/>
        <w:spacing w:before="0" w:after="0"/>
        <w:rPr>
          <w:i/>
          <w:i/>
        </w:rPr>
      </w:pPr>
      <w:r>
        <w:rPr>
          <w:i/>
        </w:rPr>
      </w:r>
    </w:p>
    <w:p>
      <w:pPr>
        <w:pStyle w:val="JustifiedBody"/>
        <w:spacing w:before="0" w:after="0"/>
        <w:rPr>
          <w:i/>
          <w:i/>
        </w:rPr>
      </w:pPr>
      <w:r>
        <w:rPr>
          <w:i/>
        </w:rPr>
      </w:r>
    </w:p>
    <w:p>
      <w:pPr>
        <w:pStyle w:val="JustifiedBody"/>
        <w:spacing w:before="0" w:after="0"/>
        <w:rPr>
          <w:i/>
          <w:i/>
        </w:rPr>
      </w:pPr>
      <w:r>
        <w:rPr>
          <w:i/>
        </w:rPr>
      </w:r>
    </w:p>
    <w:p>
      <w:pPr>
        <w:pStyle w:val="JustifiedBody"/>
        <w:spacing w:before="0" w:after="0"/>
        <w:rPr>
          <w:i/>
          <w:i/>
        </w:rPr>
      </w:pPr>
      <w:r>
        <w:rPr>
          <w:i/>
        </w:rPr>
      </w:r>
    </w:p>
    <w:p>
      <w:pPr>
        <w:pStyle w:val="Heading4"/>
        <w:spacing w:lineRule="auto" w:line="240" w:before="120" w:after="0"/>
        <w:ind w:hanging="0" w:start="0"/>
        <w:rPr>
          <w:sz w:val="22"/>
        </w:rPr>
      </w:pPr>
      <w:r>
        <w:rPr>
          <w:sz w:val="22"/>
          <w:highlight w:val="yellow"/>
        </w:rPr>
        <w:t>John Sherriff</w:t>
      </w:r>
    </w:p>
    <w:p>
      <w:pPr>
        <w:pStyle w:val="Normal"/>
        <w:numPr>
          <w:ilvl w:val="0"/>
          <w:numId w:val="0"/>
        </w:numPr>
        <w:outlineLvl w:val="0"/>
        <w:rPr>
          <w:i/>
          <w:i/>
          <w:sz w:val="22"/>
        </w:rPr>
      </w:pPr>
      <w:r>
        <w:rPr>
          <w:i/>
          <w:sz w:val="22"/>
        </w:rPr>
        <w:t>President and Chief Executive Officer</w:t>
      </w:r>
    </w:p>
    <w:p>
      <w:pPr>
        <w:pStyle w:val="Normal"/>
        <w:numPr>
          <w:ilvl w:val="0"/>
          <w:numId w:val="0"/>
        </w:numPr>
        <w:outlineLvl w:val="0"/>
        <w:rPr>
          <w:i/>
          <w:i/>
          <w:sz w:val="22"/>
        </w:rPr>
      </w:pPr>
      <w:r>
        <w:rPr>
          <w:i/>
          <w:sz w:val="22"/>
        </w:rPr>
        <w:t>Enron Europe</w:t>
      </w:r>
    </w:p>
    <w:p>
      <w:pPr>
        <w:pStyle w:val="JustifiedBody"/>
        <w:rPr/>
      </w:pPr>
      <w:r>
        <w:rPr/>
        <w:t xml:space="preserve">John Sherriff is President and Chief Executive Officer of Enron Europe, responsible for the development and management of Enron’s activities across Europe.  He was appointed to President and Chief Operating Officer in 1999 and then Chief Executive Officer in May 2000.  He is based at the company's European headquarters in London and is on Enron’s Executive Committee.  Prior to this appointment, he was a Managing Director with responsibility for Enron's overall European risk management and trading activities, including European gas and electricity trading, and information technology.  John moved to London in 1996 to manage the Company's gas and power marketing activities in Europe.  He joined Enron in the U.S. in 1994 and until 1996 managed the Company's natural gas trading in the Western U.S. Before joining Enron, John served as Vice President for American Hunter Energy for three years, trading natural gas in the western U.S.  Before this, he was Director of Corporate Sales at Pacific Gas &amp; Electric Company, headquartered in San Francisco, California.  John received his Bachelor of Science and Master’s of Science degrees from California Poly State University in mathematics </w:t>
      </w:r>
      <w:r>
        <w:rPr>
          <w:highlight w:val="yellow"/>
        </w:rPr>
        <w:t>and           , respectively.</w:t>
      </w:r>
    </w:p>
    <w:p>
      <w:pPr>
        <w:pStyle w:val="Heading4"/>
        <w:spacing w:lineRule="auto" w:line="240" w:before="60" w:after="60"/>
        <w:ind w:hanging="0" w:start="0"/>
        <w:rPr>
          <w:smallCaps/>
        </w:rPr>
      </w:pPr>
      <w:r>
        <w:rPr>
          <w:smallCaps/>
        </w:rPr>
        <w:t>Enron Net Works Dedicated Resources</w:t>
      </w:r>
    </w:p>
    <w:p>
      <w:pPr>
        <w:pStyle w:val="JustifiedBody"/>
        <w:numPr>
          <w:ilvl w:val="0"/>
          <w:numId w:val="0"/>
        </w:numPr>
        <w:spacing w:before="0" w:after="0"/>
        <w:outlineLvl w:val="0"/>
        <w:rPr/>
      </w:pPr>
      <w:r>
        <w:rPr/>
        <w:t xml:space="preserve">Enron will dedicate over 100 professionals to the Net Works initiative.  A fully-operational division has been established to develop the Net Works strategy with the following members comprising the senior management team. </w:t>
      </w:r>
    </w:p>
    <w:p>
      <w:pPr>
        <w:pStyle w:val="Heading4"/>
        <w:spacing w:lineRule="auto" w:line="240" w:before="120" w:after="0"/>
        <w:ind w:hanging="0" w:start="0"/>
        <w:rPr>
          <w:sz w:val="22"/>
        </w:rPr>
      </w:pPr>
      <w:r>
        <w:rPr>
          <w:sz w:val="22"/>
        </w:rPr>
        <w:t>Phillipe Bibi</w:t>
      </w:r>
    </w:p>
    <w:p>
      <w:pPr>
        <w:pStyle w:val="Normal"/>
        <w:numPr>
          <w:ilvl w:val="0"/>
          <w:numId w:val="0"/>
        </w:numPr>
        <w:outlineLvl w:val="0"/>
        <w:rPr>
          <w:i/>
          <w:i/>
          <w:sz w:val="22"/>
        </w:rPr>
      </w:pPr>
      <w:r>
        <w:rPr>
          <w:i/>
          <w:sz w:val="22"/>
        </w:rPr>
        <w:t>Chief Technology Officer</w:t>
      </w:r>
    </w:p>
    <w:p>
      <w:pPr>
        <w:pStyle w:val="JustifiedBody"/>
        <w:numPr>
          <w:ilvl w:val="0"/>
          <w:numId w:val="0"/>
        </w:numPr>
        <w:spacing w:before="0" w:after="0"/>
        <w:outlineLvl w:val="0"/>
        <w:rPr>
          <w:i/>
          <w:i/>
        </w:rPr>
      </w:pPr>
      <w:r>
        <w:rPr>
          <w:i/>
        </w:rPr>
        <w:t>Enron Net Works</w:t>
      </w:r>
    </w:p>
    <w:p>
      <w:pPr>
        <w:pStyle w:val="JustifiedBody"/>
        <w:rPr/>
      </w:pPr>
      <w:r>
        <w:rPr/>
        <w:t>Philippe Bibi is Managing Director and Chief Technology Officer for Enron where he oversees Information Technology for all business units.  Phillipe joined Enron Capital &amp; Trade Resources in 1995 where he orchestrated a global strategic initiative to completely overhaul Enron’s systems.  This enabled Enron to use technology as a truly competitive advantage for eCommerce, risk management and operational activities.  Philippe began his career as a technologist in investment banking derivatives trading in 1985.  From 1985 to 1995 Philippe participated in and led numerous systems development efforts across a wide variety of product lines, foreign exchange, interest rates, equities and commodities.  These systems were global in nature and spanned trading and operations, with an emphasis on derivatives product risk management.  Philippe received a Bachelor of Science in Computer Science and Mathematics from Brunel University (London) and a Master’s degree in Systems Analysis and Finance from the London School of Economics.</w:t>
      </w:r>
    </w:p>
    <w:p>
      <w:pPr>
        <w:pStyle w:val="Heading4"/>
        <w:spacing w:lineRule="auto" w:line="240" w:before="120" w:after="0"/>
        <w:ind w:hanging="0" w:start="0"/>
        <w:rPr>
          <w:b w:val="false"/>
        </w:rPr>
      </w:pPr>
      <w:r>
        <w:rPr>
          <w:sz w:val="22"/>
        </w:rPr>
        <w:t>Bill Brown</w:t>
      </w:r>
    </w:p>
    <w:p>
      <w:pPr>
        <w:pStyle w:val="Normal"/>
        <w:numPr>
          <w:ilvl w:val="0"/>
          <w:numId w:val="0"/>
        </w:numPr>
        <w:outlineLvl w:val="0"/>
        <w:rPr>
          <w:i/>
          <w:i/>
          <w:sz w:val="24"/>
        </w:rPr>
      </w:pPr>
      <w:r>
        <w:rPr>
          <w:i/>
          <w:sz w:val="24"/>
        </w:rPr>
        <w:t>Vice President and Chief Financial Officer</w:t>
      </w:r>
    </w:p>
    <w:p>
      <w:pPr>
        <w:pStyle w:val="Normal"/>
        <w:numPr>
          <w:ilvl w:val="0"/>
          <w:numId w:val="0"/>
        </w:numPr>
        <w:outlineLvl w:val="0"/>
        <w:rPr>
          <w:sz w:val="22"/>
        </w:rPr>
      </w:pPr>
      <w:r>
        <w:rPr>
          <w:i/>
          <w:sz w:val="22"/>
        </w:rPr>
        <w:t>Enron Net Works</w:t>
      </w:r>
    </w:p>
    <w:p>
      <w:pPr>
        <w:pStyle w:val="JustifiedBody"/>
        <w:numPr>
          <w:ilvl w:val="0"/>
          <w:numId w:val="0"/>
        </w:numPr>
        <w:spacing w:before="0" w:after="0"/>
        <w:outlineLvl w:val="0"/>
        <w:rPr>
          <w:sz w:val="24"/>
        </w:rPr>
      </w:pPr>
      <w:r>
        <w:rPr/>
        <w:t>Bill Brown is Vice President and Regional Chief Financial Officer of Enron Net W</w:t>
      </w:r>
      <w:r>
        <w:rPr>
          <w:highlight w:val="yellow"/>
        </w:rPr>
        <w:t xml:space="preserve">orks.  </w:t>
      </w:r>
      <w:r>
        <w:rPr/>
        <w:t>In this capacity, he is responsible for raising debt and equity capital to be deployed by Net Works and its acquired businesses.  Prior to this appointment in April 2000, Bill managed the corporate finance activities for Enron.  Bill joined Enron in 1995 after a five year tenure with The Fuji Bank Limited in Houston where he created its Energy Finance Group.  He specialized in providing a variety of financial services to the energy sector  including structured, lease and project financings.  Bill brings over fifteen years of structured and project finance experience in the corporate and energy sectors to Net Works.  Bill holds both a Bachelor of Science and Master’s of Business Administration with special studies in energy economics from Baylor University.</w:t>
      </w:r>
    </w:p>
    <w:p>
      <w:pPr>
        <w:pStyle w:val="Normal"/>
        <w:numPr>
          <w:ilvl w:val="0"/>
          <w:numId w:val="0"/>
        </w:numPr>
        <w:jc w:val="both"/>
        <w:outlineLvl w:val="0"/>
        <w:rPr>
          <w:sz w:val="24"/>
        </w:rPr>
      </w:pPr>
      <w:r>
        <w:rPr>
          <w:sz w:val="24"/>
        </w:rPr>
      </w:r>
    </w:p>
    <w:p>
      <w:pPr>
        <w:pStyle w:val="Heading4"/>
        <w:spacing w:lineRule="auto" w:line="240" w:before="120" w:after="0"/>
        <w:ind w:hanging="0" w:start="0"/>
        <w:rPr>
          <w:sz w:val="22"/>
          <w:highlight w:val="yellow"/>
        </w:rPr>
      </w:pPr>
      <w:r>
        <w:rPr>
          <w:sz w:val="22"/>
          <w:highlight w:val="yellow"/>
        </w:rPr>
        <w:t>Jeff Donahue</w:t>
      </w:r>
    </w:p>
    <w:p>
      <w:pPr>
        <w:pStyle w:val="Normal"/>
        <w:numPr>
          <w:ilvl w:val="0"/>
          <w:numId w:val="0"/>
        </w:numPr>
        <w:outlineLvl w:val="0"/>
        <w:rPr/>
      </w:pPr>
      <w:r>
        <w:rPr>
          <w:i/>
          <w:sz w:val="22"/>
          <w:highlight w:val="yellow"/>
        </w:rPr>
        <w:t>Managing</w:t>
      </w:r>
      <w:r>
        <w:rPr>
          <w:sz w:val="22"/>
          <w:highlight w:val="yellow"/>
        </w:rPr>
        <w:t xml:space="preserve"> </w:t>
      </w:r>
      <w:r>
        <w:rPr>
          <w:i/>
          <w:sz w:val="22"/>
          <w:highlight w:val="yellow"/>
        </w:rPr>
        <w:t>Director– Corporate</w:t>
      </w:r>
      <w:r>
        <w:rPr>
          <w:sz w:val="22"/>
          <w:highlight w:val="yellow"/>
        </w:rPr>
        <w:t xml:space="preserve"> </w:t>
      </w:r>
      <w:r>
        <w:rPr>
          <w:i/>
          <w:sz w:val="22"/>
          <w:highlight w:val="yellow"/>
        </w:rPr>
        <w:t>Development</w:t>
      </w:r>
    </w:p>
    <w:p>
      <w:pPr>
        <w:pStyle w:val="Normal"/>
        <w:numPr>
          <w:ilvl w:val="0"/>
          <w:numId w:val="0"/>
        </w:numPr>
        <w:outlineLvl w:val="0"/>
        <w:rPr/>
      </w:pPr>
      <w:r>
        <w:rPr>
          <w:i/>
          <w:sz w:val="22"/>
          <w:highlight w:val="yellow"/>
        </w:rPr>
        <w:t>Enron Net Works</w:t>
      </w:r>
      <w:r>
        <w:rPr>
          <w:sz w:val="22"/>
        </w:rPr>
        <w:t xml:space="preserve"> </w:t>
      </w:r>
    </w:p>
    <w:p>
      <w:pPr>
        <w:pStyle w:val="Heading4"/>
        <w:spacing w:lineRule="auto" w:line="240" w:before="120" w:after="0"/>
        <w:ind w:hanging="0" w:start="0"/>
        <w:rPr>
          <w:sz w:val="22"/>
        </w:rPr>
      </w:pPr>
      <w:r>
        <w:rPr>
          <w:sz w:val="22"/>
        </w:rPr>
        <w:t>Jay Fitzgerald</w:t>
      </w:r>
    </w:p>
    <w:p>
      <w:pPr>
        <w:pStyle w:val="Normal"/>
        <w:numPr>
          <w:ilvl w:val="0"/>
          <w:numId w:val="0"/>
        </w:numPr>
        <w:outlineLvl w:val="0"/>
        <w:rPr>
          <w:i/>
          <w:i/>
          <w:sz w:val="22"/>
        </w:rPr>
      </w:pPr>
      <w:r>
        <w:rPr>
          <w:i/>
          <w:sz w:val="22"/>
        </w:rPr>
        <w:t>Managing Director – New Markets Identification and Investments</w:t>
      </w:r>
    </w:p>
    <w:p>
      <w:pPr>
        <w:pStyle w:val="Normal"/>
        <w:numPr>
          <w:ilvl w:val="0"/>
          <w:numId w:val="0"/>
        </w:numPr>
        <w:outlineLvl w:val="0"/>
        <w:rPr/>
      </w:pPr>
      <w:r>
        <w:rPr>
          <w:i/>
          <w:sz w:val="22"/>
        </w:rPr>
        <w:t>Enron Net Works</w:t>
      </w:r>
      <w:r>
        <w:rPr>
          <w:b/>
          <w:sz w:val="22"/>
        </w:rPr>
        <w:t xml:space="preserve"> </w:t>
      </w:r>
    </w:p>
    <w:p>
      <w:pPr>
        <w:pStyle w:val="JustifiedBody"/>
        <w:spacing w:before="0" w:after="0"/>
        <w:rPr/>
      </w:pPr>
      <w:r>
        <w:rPr/>
        <w:t>Jay Fitzgerald is responsible for identifying new markets and investment opportunities for Enron Net Works.  Prior to his current role, Jay was responsible for managing Enron's origination activities in the United Kingdom, Continental Europe and Scandinavia.  Jay has been at Enron since 1992 after a career as a capital markets professional with UBS Securities and Credit Lyonnais.  Jay received his Bachelor of Science in finance from the University of Oklahoma and a Master’s of Business Administration from the J.L. Kellogg Graduate School of Management at Northwestern University.</w:t>
      </w:r>
    </w:p>
    <w:p>
      <w:pPr>
        <w:pStyle w:val="Normal"/>
        <w:numPr>
          <w:ilvl w:val="0"/>
          <w:numId w:val="0"/>
        </w:numPr>
        <w:spacing w:before="120" w:after="0"/>
        <w:outlineLvl w:val="0"/>
        <w:rPr>
          <w:b/>
          <w:sz w:val="22"/>
        </w:rPr>
      </w:pPr>
      <w:r>
        <w:rPr>
          <w:b/>
          <w:sz w:val="22"/>
        </w:rPr>
        <w:t>Bruce Garner</w:t>
      </w:r>
    </w:p>
    <w:p>
      <w:pPr>
        <w:pStyle w:val="Normal"/>
        <w:numPr>
          <w:ilvl w:val="0"/>
          <w:numId w:val="0"/>
        </w:numPr>
        <w:outlineLvl w:val="0"/>
        <w:rPr>
          <w:i/>
          <w:i/>
          <w:sz w:val="22"/>
        </w:rPr>
      </w:pPr>
      <w:r>
        <w:rPr>
          <w:i/>
          <w:sz w:val="22"/>
        </w:rPr>
        <w:t xml:space="preserve">Vice President – Metals </w:t>
      </w:r>
    </w:p>
    <w:p>
      <w:pPr>
        <w:pStyle w:val="Normal"/>
        <w:numPr>
          <w:ilvl w:val="0"/>
          <w:numId w:val="0"/>
        </w:numPr>
        <w:outlineLvl w:val="0"/>
        <w:rPr/>
      </w:pPr>
      <w:r>
        <w:rPr>
          <w:i/>
          <w:sz w:val="22"/>
        </w:rPr>
        <w:t>Enron Net Works</w:t>
      </w:r>
      <w:r>
        <w:rPr>
          <w:b/>
          <w:sz w:val="22"/>
        </w:rPr>
        <w:t xml:space="preserve"> </w:t>
      </w:r>
    </w:p>
    <w:p>
      <w:pPr>
        <w:pStyle w:val="JustifiedBody"/>
        <w:spacing w:before="0" w:after="0"/>
        <w:rPr/>
      </w:pPr>
      <w:r>
        <w:rPr/>
        <w:t>Bruce Garner is responsible for developing Net Works’ base metals business and was instrumental in executing the MG plc acquisition.  Bruce joined Enron North America in January 2000 to develop the Industrials group in North America.  Prior to Enron, he worked for a total of nine years at Bankers Trust in various disciplines including corporate finance, mergers and acquisitions advisory and risk management.  Bruce’s roles included Managing Director in London, Head of Global Metals and Mining, Head of North American Energy Derivatives Marketing and Head of U.S. Energy Corporate Finance. Bruce started his career as an exploration geophysicist for Gulf Oil/Chevron in Midland, Texas.  He also worked for AIG Trading as a marketer for base and precious metals derivatives and at JP Morgan marketing energy and base metal derivatives in North and South America.  Bruce received his Bachelor of Science in Geology from Rutgers University and completed his Master’s of Business Administration at Cornell University.</w:t>
      </w:r>
    </w:p>
    <w:p>
      <w:pPr>
        <w:pStyle w:val="Heading4"/>
        <w:spacing w:lineRule="auto" w:line="240" w:before="120" w:after="0"/>
        <w:ind w:hanging="0" w:start="0"/>
        <w:rPr>
          <w:sz w:val="22"/>
        </w:rPr>
      </w:pPr>
      <w:r>
        <w:rPr>
          <w:sz w:val="22"/>
        </w:rPr>
        <w:t>Louise Kitchen</w:t>
      </w:r>
    </w:p>
    <w:p>
      <w:pPr>
        <w:pStyle w:val="Normal"/>
        <w:numPr>
          <w:ilvl w:val="0"/>
          <w:numId w:val="0"/>
        </w:numPr>
        <w:outlineLvl w:val="0"/>
        <w:rPr>
          <w:i/>
          <w:i/>
          <w:sz w:val="22"/>
        </w:rPr>
      </w:pPr>
      <w:r>
        <w:rPr>
          <w:i/>
          <w:sz w:val="22"/>
        </w:rPr>
        <w:t>Managing Director - EnronOnline</w:t>
      </w:r>
    </w:p>
    <w:p>
      <w:pPr>
        <w:pStyle w:val="Normal"/>
        <w:numPr>
          <w:ilvl w:val="0"/>
          <w:numId w:val="0"/>
        </w:numPr>
        <w:outlineLvl w:val="0"/>
        <w:rPr>
          <w:i/>
          <w:i/>
          <w:sz w:val="22"/>
        </w:rPr>
      </w:pPr>
      <w:r>
        <w:rPr>
          <w:i/>
          <w:sz w:val="22"/>
        </w:rPr>
        <w:t>Enron Net Works</w:t>
      </w:r>
    </w:p>
    <w:p>
      <w:pPr>
        <w:pStyle w:val="JustifiedBody"/>
        <w:spacing w:before="0" w:after="0"/>
        <w:rPr>
          <w:b/>
        </w:rPr>
      </w:pPr>
      <w:r>
        <w:rPr/>
        <w:t xml:space="preserve">Louise Kitchen has managed EnronOnline since the initiation of the project in November 1999.  Louise has been responsible for the development and launch of the business and remains responsible for the ongoing operation of EnronOnline.  Louise ran Enron’s retail operation in the U.K. from 1997 to 1999, where she introduced electricity sales as an incremental offering to natural gas, which led to a ten-fold increase in the customer base.  She joined Enron in the spring of 1994, with responsibility for building a gas trading business for Enron in Europe.  Prior to joining Enron, Louise was employed by PowerGen, where she worked in electricity trading before taking responsibility for PowerGen’s gas trading activities.  Louise received her Bachelor of Arts in Economics and French at Kingston University. </w:t>
      </w:r>
    </w:p>
    <w:p>
      <w:pPr>
        <w:pStyle w:val="Heading4"/>
        <w:spacing w:lineRule="auto" w:line="240" w:before="120" w:after="0"/>
        <w:ind w:hanging="0" w:start="0"/>
        <w:rPr>
          <w:sz w:val="22"/>
        </w:rPr>
      </w:pPr>
      <w:r>
        <w:rPr>
          <w:sz w:val="22"/>
        </w:rPr>
        <w:t>Greg Piper</w:t>
      </w:r>
    </w:p>
    <w:p>
      <w:pPr>
        <w:pStyle w:val="Normal"/>
        <w:numPr>
          <w:ilvl w:val="0"/>
          <w:numId w:val="0"/>
        </w:numPr>
        <w:outlineLvl w:val="0"/>
        <w:rPr>
          <w:i/>
          <w:i/>
          <w:sz w:val="22"/>
        </w:rPr>
      </w:pPr>
      <w:r>
        <w:rPr>
          <w:i/>
          <w:sz w:val="22"/>
        </w:rPr>
        <w:t>Managing Director – Pulp and Paper</w:t>
      </w:r>
    </w:p>
    <w:p>
      <w:pPr>
        <w:pStyle w:val="Normal"/>
        <w:numPr>
          <w:ilvl w:val="0"/>
          <w:numId w:val="0"/>
        </w:numPr>
        <w:outlineLvl w:val="0"/>
        <w:rPr>
          <w:i/>
          <w:i/>
          <w:sz w:val="22"/>
        </w:rPr>
      </w:pPr>
      <w:r>
        <w:rPr>
          <w:i/>
          <w:sz w:val="22"/>
        </w:rPr>
        <w:t>Enron Net Works</w:t>
      </w:r>
    </w:p>
    <w:p>
      <w:pPr>
        <w:pStyle w:val="JustifiedBody"/>
        <w:rPr/>
      </w:pPr>
      <w:r>
        <w:rPr/>
        <w:t>Greg Piper is responsible for Net Works’ development and pursuit of a pulp and paper strategy.  In January 2000, Greg assumed responsibility for all origination activities related to Industrials in North America.  In January 1997, Greg was promoted to Vice President of Enron North America’s origination group and was given responsibility for origination activities in the 11 Western states.  Between 1993 and 1997, Greg’s focus was marketing natural gas, electricity, and structured financial products to utilities, industrials and independent power producers in the Eastern U.S.  Greg began his career in 1986 when he joined Enron Oil &amp; Gas, where he held various positions in engineering, transportation and marketing.  He then spent several years with Hadson Gas Systems, Inc. and LG&amp;E Power, Inc. in business development, gas marketing and power marketing. Greg received his Bachelor of Science in Petroleum Engineering at the Colorado School of Mines and completed his Master’s of Business Administration at the University of Texas.</w:t>
      </w:r>
    </w:p>
    <w:p>
      <w:pPr>
        <w:pStyle w:val="JustifiedBody"/>
        <w:numPr>
          <w:ilvl w:val="0"/>
          <w:numId w:val="0"/>
        </w:numPr>
        <w:spacing w:before="120" w:after="120"/>
        <w:outlineLvl w:val="0"/>
        <w:rPr>
          <w:b/>
          <w:smallCaps/>
          <w:sz w:val="24"/>
        </w:rPr>
      </w:pPr>
      <w:r>
        <w:rPr>
          <w:b/>
          <w:smallCaps/>
          <w:sz w:val="24"/>
        </w:rPr>
        <w:t xml:space="preserve">Structure </w:t>
      </w:r>
    </w:p>
    <w:p>
      <w:pPr>
        <w:pStyle w:val="JustifiedBody"/>
        <w:rPr/>
      </w:pPr>
      <w:r>
        <w:rPr/>
        <w:t xml:space="preserve">Enron established Net Works to pursue new businesses where it will apply the same business model the Company had utilized to transform other industries with commodity-like products.  While Net Works is a strategic priority for Enron, the Company prefers to establish and develop these new businesses off-balance sheet rather than consolidate sizeable Old Economy assets before having the opportunity convert them into New Economy assets.  </w:t>
      </w:r>
    </w:p>
    <w:p>
      <w:pPr>
        <w:pStyle w:val="JustifiedBody"/>
        <w:rPr>
          <w:highlight w:val="yellow"/>
        </w:rPr>
      </w:pPr>
      <w:r>
        <w:rPr>
          <w:highlight w:val="yellow"/>
        </w:rPr>
        <w:t>Enron and investors will each own economic interest in Net Works Partners, a company being established as a limited partnership to execute the Net Works business plan.  Net Works Partners will form a board of directors split evenly between Enron and investors that will make key strategic and policy decisions.  The businesses will be managed day-to-day by Enron; however, terms will be structured to provide investors key rights.</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Organizational Structure</w:t>
            </w:r>
          </w:p>
        </w:tc>
      </w:tr>
      <w:tr>
        <w:trPr>
          <w:trHeight w:val="3563"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60" w:after="0"/>
              <w:jc w:val="center"/>
              <w:outlineLvl w:val="0"/>
              <w:rPr>
                <w:sz w:val="22"/>
              </w:rPr>
            </w:pPr>
            <w:r>
              <mc:AlternateContent>
                <mc:Choice Requires="wps">
                  <w:drawing>
                    <wp:anchor behindDoc="0" distT="0" distB="0" distL="114935" distR="114935" simplePos="0" locked="0" layoutInCell="0" allowOverlap="1" relativeHeight="42">
                      <wp:simplePos x="0" y="0"/>
                      <wp:positionH relativeFrom="margin">
                        <wp:posOffset>91440</wp:posOffset>
                      </wp:positionH>
                      <wp:positionV relativeFrom="paragraph">
                        <wp:posOffset>2160905</wp:posOffset>
                      </wp:positionV>
                      <wp:extent cx="2377440" cy="0"/>
                      <wp:effectExtent l="0" t="5080" r="0" b="5080"/>
                      <wp:wrapNone/>
                      <wp:docPr id="36"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70.15pt" to="194.35pt,170.15pt" stroked="t" o:allowincell="f" style="position:absolute;mso-position-horizontal-relative:margin">
                      <v:stroke color="black" weight="9360" joinstyle="miter" endcap="flat"/>
                      <v:fill o:detectmouseclick="t" on="false"/>
                      <w10:wrap type="none"/>
                    </v:line>
                  </w:pict>
                </mc:Fallback>
              </mc:AlternateContent>
            </w:r>
            <w:r>
              <w:rPr>
                <w:sz w:val="22"/>
              </w:rPr>
              <w:t xml:space="preserve"> </w:t>
            </w:r>
            <w:r>
              <w:rPr>
                <w:sz w:val="22"/>
              </w:rPr>
              <w:drawing>
                <wp:inline distT="0" distB="0" distL="0" distR="0">
                  <wp:extent cx="4003040" cy="1948815"/>
                  <wp:effectExtent l="0" t="0" r="0" b="0"/>
                  <wp:docPr id="37"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8" descr="" title=""/>
                          <pic:cNvPicPr>
                            <a:picLocks noChangeAspect="1" noChangeArrowheads="1"/>
                          </pic:cNvPicPr>
                        </pic:nvPicPr>
                        <pic:blipFill>
                          <a:blip r:embed="rId60"/>
                          <a:srcRect l="-7" t="-14" r="-7" b="-14"/>
                          <a:stretch>
                            <a:fillRect/>
                          </a:stretch>
                        </pic:blipFill>
                        <pic:spPr bwMode="auto">
                          <a:xfrm>
                            <a:off x="0" y="0"/>
                            <a:ext cx="4003040" cy="1948815"/>
                          </a:xfrm>
                          <a:prstGeom prst="rect">
                            <a:avLst/>
                          </a:prstGeom>
                          <a:noFill/>
                        </pic:spPr>
                      </pic:pic>
                    </a:graphicData>
                  </a:graphic>
                </wp:inline>
              </w:drawing>
            </w:r>
          </w:p>
          <w:p>
            <w:pPr>
              <w:pStyle w:val="Normal"/>
              <w:numPr>
                <w:ilvl w:val="0"/>
                <w:numId w:val="7"/>
              </w:numPr>
              <w:spacing w:before="360" w:after="0"/>
              <w:outlineLvl w:val="0"/>
              <w:rPr>
                <w:i/>
                <w:i/>
                <w:sz w:val="16"/>
              </w:rPr>
            </w:pPr>
            <w:r>
              <w:rPr>
                <w:i/>
                <w:sz w:val="16"/>
              </w:rPr>
              <w:t>Enron will dedicate over 100 professionals to the development of the Net Works business.</w:t>
            </w:r>
          </w:p>
          <w:p>
            <w:pPr>
              <w:pStyle w:val="Normal"/>
              <w:numPr>
                <w:ilvl w:val="0"/>
                <w:numId w:val="7"/>
              </w:numPr>
              <w:outlineLvl w:val="0"/>
              <w:rPr>
                <w:i/>
                <w:i/>
                <w:sz w:val="16"/>
              </w:rPr>
            </w:pPr>
            <w:r>
              <w:rPr>
                <w:i/>
                <w:sz w:val="16"/>
              </w:rPr>
              <w:t>Eight board seats split evenly between Enron and Investors.  Board has key decision rights.</w:t>
            </w:r>
          </w:p>
          <w:p>
            <w:pPr>
              <w:pStyle w:val="Normal"/>
              <w:numPr>
                <w:ilvl w:val="0"/>
                <w:numId w:val="7"/>
              </w:numPr>
              <w:outlineLvl w:val="0"/>
              <w:rPr>
                <w:i/>
                <w:i/>
                <w:sz w:val="16"/>
              </w:rPr>
            </w:pPr>
            <w:r>
              <w:rPr>
                <w:i/>
                <w:sz w:val="16"/>
              </w:rPr>
              <w:t>Employees of the companies acquired by Net Works will report into senior Enron operations management.</w:t>
            </w:r>
          </w:p>
          <w:p>
            <w:pPr>
              <w:pStyle w:val="Normal"/>
              <w:numPr>
                <w:ilvl w:val="0"/>
                <w:numId w:val="7"/>
              </w:numPr>
              <w:outlineLvl w:val="0"/>
              <w:rPr>
                <w:i/>
                <w:i/>
                <w:sz w:val="16"/>
              </w:rPr>
            </w:pPr>
            <w:r>
              <w:rPr>
                <w:i/>
                <w:sz w:val="16"/>
              </w:rPr>
              <w:t>Pending acquisition of MG plc represents Net Works opportunity to penetrate this industry.</w:t>
            </w:r>
          </w:p>
          <w:p>
            <w:pPr>
              <w:pStyle w:val="Normal"/>
              <w:numPr>
                <w:ilvl w:val="0"/>
                <w:numId w:val="7"/>
              </w:numPr>
              <w:outlineLvl w:val="0"/>
              <w:rPr>
                <w:i/>
                <w:i/>
                <w:sz w:val="14"/>
              </w:rPr>
            </w:pPr>
            <w:r>
              <w:rPr>
                <w:i/>
                <w:sz w:val="16"/>
              </w:rPr>
              <w:t>Pending acquisition of Garden State Paper Company, Inc. represents Net Works opportunity to penetrate this industry.</w:t>
            </w:r>
          </w:p>
          <w:p>
            <w:pPr>
              <w:pStyle w:val="Normal"/>
              <w:numPr>
                <w:ilvl w:val="0"/>
                <w:numId w:val="7"/>
              </w:numPr>
              <w:outlineLvl w:val="0"/>
              <w:rPr>
                <w:i/>
                <w:i/>
                <w:sz w:val="14"/>
              </w:rPr>
            </w:pPr>
            <w:r>
              <w:rPr>
                <w:i/>
                <w:sz w:val="16"/>
              </w:rPr>
              <w:t>Opportunities to enter the lumber and steel industry are currently being evaluated.</w:t>
            </w:r>
          </w:p>
        </w:tc>
      </w:tr>
    </w:tbl>
    <w:p>
      <w:pPr>
        <w:pStyle w:val="JustifiedBody"/>
        <w:rPr/>
      </w:pPr>
      <w:r>
        <w:rPr/>
      </w:r>
    </w:p>
    <w:p>
      <w:pPr>
        <w:pStyle w:val="JustifiedBody"/>
        <w:rPr/>
      </w:pPr>
      <w:r>
        <w:rPr/>
        <w:t xml:space="preserve"> </w:t>
      </w:r>
    </w:p>
    <w:p>
      <w:pPr>
        <w:sectPr>
          <w:type w:val="continuous"/>
          <w:pgSz w:w="12240" w:h="15840"/>
          <w:pgMar w:left="1440" w:right="1440" w:gutter="0" w:header="432" w:top="1350" w:footer="720" w:bottom="1170"/>
          <w:formProt w:val="false"/>
          <w:textDirection w:val="lrTb"/>
          <w:docGrid w:type="default" w:linePitch="360" w:charSpace="0"/>
        </w:sectPr>
      </w:pPr>
    </w:p>
    <w:p>
      <w:pPr>
        <w:pStyle w:val="JustifiedBody"/>
        <w:tabs>
          <w:tab w:val="clear" w:pos="720"/>
          <w:tab w:val="left" w:pos="630" w:leader="none"/>
        </w:tabs>
        <w:rPr/>
      </w:pPr>
      <w:r>
        <w:rPr/>
        <w:t>Aside from dedicating management and organizational support to Net Works, Enron will contribute: (1) its pulp and paper business; (2) EnronOnline’s technology and capabilities; (3) credit support to enhance business opportunities; (4) the functionality of Enron’s risk management processes and information technology, which the Company has spent over $600 million in developing; and (5) the ability to use Enron’s well-regarded brand name.  Additionally, Enron is bridge financing the pending MG plc acquisition that Net Works will acquire, at Enron’s cost basis, once capital has been raised through this private placement.</w:t>
      </w:r>
    </w:p>
    <w:p>
      <w:pPr>
        <w:pStyle w:val="Heading4"/>
        <w:spacing w:lineRule="auto" w:line="240" w:before="60" w:after="60"/>
        <w:ind w:hanging="0" w:start="0"/>
        <w:rPr>
          <w:smallCaps/>
        </w:rPr>
      </w:pPr>
      <w:bookmarkStart w:id="9" w:name="_Ref489097749"/>
      <w:r>
        <w:rPr>
          <w:smallCaps/>
        </w:rPr>
        <w:t>Enron’s Pulp and Paper Business</w:t>
      </w:r>
      <w:bookmarkEnd w:id="9"/>
    </w:p>
    <w:p>
      <w:pPr>
        <w:pStyle w:val="Normal"/>
        <w:jc w:val="both"/>
        <w:rPr>
          <w:sz w:val="22"/>
        </w:rPr>
      </w:pPr>
      <w:r>
        <w:rPr>
          <w:sz w:val="22"/>
        </w:rPr>
        <w:t>Enron will contribute its current pulp and paper business, the majority of which is a financial trading book, to aid Net Works in the development of a deeper paper market.  The pulp and paper business was started in May 1997.  It has grown to a team of forty people between Enron’s Houston and London offices, which include twenty-five individuals making markets in different products.  Enron’s pulp and paper group performs and markets forward market making activities, finances prepayments, monetizations, and acquisition activities and also offers energy management services to customers who have large energy requirements to run their businesses.</w:t>
      </w:r>
    </w:p>
    <w:p>
      <w:pPr>
        <w:pStyle w:val="Normal"/>
        <w:spacing w:before="120" w:after="120"/>
        <w:jc w:val="both"/>
        <w:rPr>
          <w:sz w:val="22"/>
        </w:rPr>
      </w:pPr>
      <w:r>
        <w:rPr>
          <w:sz w:val="22"/>
        </w:rPr>
        <w:t xml:space="preserve">The success of this group has been demonstrated by the increase in transactions since inception from 14 in 1997, to 73 in 1998 and to over 430 transactions in 1999.  The first half of 2000 has seen continued growth with over 870 transactions completed.  Coupled with this transaction growth is the growth of metric tonnage traded.  Metric tonnage traded was approximately 300,000, 4,500,000, 6,500,000 and 5,700,000 for 1997, 1998, 1999 and first half of 2000, respectively.  Additionally, lumber trading began in 2000 and over 310 trades of 288,700 thousand board feet (“MBFs”).  </w:t>
      </w:r>
    </w:p>
    <w:p>
      <w:pPr>
        <w:pStyle w:val="Normal"/>
        <w:jc w:val="both"/>
        <w:rPr>
          <w:sz w:val="22"/>
        </w:rPr>
      </w:pPr>
      <w:r>
        <w:rPr>
          <w:sz w:val="22"/>
        </w:rPr>
        <w:t xml:space="preserve">Pulp and paper products were launched on EnronOnline in December 1999.  Limited transactions have been made on the Internet due to the complexity of the financial transactions executed and the current illiquidity in the market.  Once Net Works has access to physical goods, a physical market is expected to develop with Net Works as the principal-based market-maker, acting for its own account, both in the traditional phone distribution method and the New Economy distribution channel of the Internet.  As more standardized contracts are developed and the behavior of buyers and sellers migrates toward price-driven commodity markets, it is expected that Internet distribution will have the same effect on developing velocity and trading volume in the paper market as the Company has achieved in the natural gas and power markets. </w:t>
      </w:r>
    </w:p>
    <w:p>
      <w:pPr>
        <w:pStyle w:val="JustifiedBody"/>
        <w:spacing w:before="120" w:after="0"/>
        <w:rPr/>
      </w:pPr>
      <w:r>
        <w:rPr>
          <w:highlight w:val="yellow"/>
        </w:rPr>
        <w:t>The entire business surrounding this book is being contributed to Net Works, including the traders, originators, client list and the momentum established by building this book over the past years.</w:t>
      </w:r>
      <w:r>
        <w:rPr/>
        <w:t xml:space="preserve">  Enron currently trades the following 23 pulp and paper products including:  (1) various grades of pulp including NBSK, NBHK, SBSK, SBHK, Fluff, De-Inked, BEK, BHTMP and BSTMP; (2) 48.8 Gram </w:t>
      </w:r>
    </w:p>
    <w:p>
      <w:pPr>
        <w:sectPr>
          <w:headerReference w:type="default" r:id="rId61"/>
          <w:footerReference w:type="default" r:id="rId62"/>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
        <w:rPr/>
      </w:pPr>
      <w:r>
        <w:rPr/>
        <w:t>Newsprint; (3) Standard No. 4 83-85 Xerographic, (4) 20 lb. Formsbond; (5) Coated No. 1 80 lb. Sheets; (6) Coated No. 3 60 lb. Rolls; (7) Coated Groundwood No. 4 50 lb.; (8) Coated No. 5 34 lb.; (9) Coated No. 5 40 lb.; (10) 35 lb. SC-A offset; (11) SC-B, (12) 42 lb. Linerboard; (13) 26 lb. Semichemical Medium; (14) 16 pt. Folding Carton (SBS); (15) 15 pt. Clay-Coated Bleached Folding;(16) 20 pt. Clay Coated News; (17) OCC; (18) ONP; (19) SOP; (20) MOW; (21) DLK; (22) Framing Lumber; and (23) Oriented Strand Board.</w:t>
      </w:r>
    </w:p>
    <w:p>
      <w:pPr>
        <w:pStyle w:val="JustifiedBody"/>
        <w:spacing w:before="120" w:after="120"/>
        <w:rPr>
          <w:b/>
          <w:smallCaps/>
          <w:sz w:val="24"/>
        </w:rPr>
      </w:pPr>
      <w:r>
        <w:rPr>
          <w:b/>
          <w:smallCaps/>
          <w:sz w:val="24"/>
        </w:rPr>
        <w:t>EnronOnline Technology and Capabilities</w:t>
      </w:r>
    </w:p>
    <w:p>
      <w:pPr>
        <w:pStyle w:val="JustifiedBody"/>
        <w:rPr/>
      </w:pPr>
      <w:r>
        <w:rPr/>
        <w:t>EnronOnline has differentiated itself from other online marketplaces in several ways. First, it is a principal-based marketplace that continuously offers bid and asks prices for all products traded during trading hours.  It can ensure that every trade price offered is firm because Enron executes all trades as either the seller or buyer.  Second, it utilizes proprietary software that allows real time pricing.  The EnronOnline system is capable of handling over 3000 price changes a minute, which is necessary to keep up with a volatile marketplace and to keep the best price available at all times.  Also built into this system are checks and balances from risk control policies that monitor all positions and manage risk.  This software functionality will be integrated into the new web marketplace for each Targeted Industry.  Finally, EnronOnline has the capability of adding links to its site that direct customers to the new industry websites.</w:t>
      </w:r>
    </w:p>
    <w:p>
      <w:pPr>
        <w:pStyle w:val="JustifiedBody"/>
        <w:rPr/>
      </w:pPr>
      <w:r>
        <w:rPr/>
        <w:t>The unique technology behind EnronOnline is primarily based in the proprietary stack manager software that Enron has developed to allow real-time price updates to be displayed.  The stack manager is a system that allows traders to manipulate the prices displayed based on activity on the site.  The system can be set up to increase or decrease posted bid/offers by a certain dollar amount in response to a sale or purchase of a specific product.  The system also has capability to link several products and adjust prices with the movement of any other product.  Traders continually monitor these movements and can override or change a price at any time and the site will be automatically updated, thereby providing a liquid market at all times for the customers.  Finally, the system is also capable of customizing some trades by combining the appropriate underlying transactions to satisfy the request of the purchaser.</w:t>
      </w:r>
    </w:p>
    <w:p>
      <w:pPr>
        <w:pStyle w:val="JustifiedBody"/>
        <w:numPr>
          <w:ilvl w:val="0"/>
          <w:numId w:val="0"/>
        </w:numPr>
        <w:spacing w:before="120" w:after="60"/>
        <w:outlineLvl w:val="0"/>
        <w:rPr>
          <w:b/>
          <w:smallCaps/>
          <w:sz w:val="24"/>
        </w:rPr>
      </w:pPr>
      <w:r>
        <w:rPr>
          <w:b/>
          <w:smallCaps/>
          <w:sz w:val="24"/>
        </w:rPr>
        <w:t>Enron Credit Support</w:t>
      </w:r>
    </w:p>
    <w:p>
      <w:pPr>
        <w:pStyle w:val="JustifiedBody"/>
        <w:rPr/>
      </w:pPr>
      <w:r>
        <w:rPr/>
        <w:t xml:space="preserve">Increasing the Net Works credit rating through support from Enron is an important component of executing the Net Works business model.  For example, MG plc has lost trades when counterparties were not willing or able to trade with them.  Net Works plans on building its trading businesses with an investment grade credit rating obtained through support from Enron.  As in its previous business such as natural gas and power, Enron will essentially act as the “Federal Reserve” for the new business, providing liquidity to all Net Work companies on both physical and financial trades. </w:t>
      </w:r>
    </w:p>
    <w:p>
      <w:pPr>
        <w:pStyle w:val="Normal"/>
        <w:jc w:val="both"/>
        <w:rPr>
          <w:sz w:val="22"/>
        </w:rPr>
      </w:pPr>
      <w:r>
        <w:rPr>
          <w:sz w:val="22"/>
        </w:rPr>
        <w:t xml:space="preserve">Enron will provide a performance guarantee on every transaction executed.  In essence, Enron will wrap Net Works with its BBB+ and Baa1 senior unsecured debt ratings from Standard &amp; Poor’s and Moody’s, respectively.  As a result, should MG or any future Net Works acquisition default, Enron will step in to fulfill any shortcomings.  This essentially results in Enron giving a costless call option on Enron’s credit over an unlimited number of transactions or volume for the duration of Net Work’s existence.  </w:t>
      </w:r>
    </w:p>
    <w:p>
      <w:pPr>
        <w:pStyle w:val="Normal"/>
        <w:jc w:val="both"/>
        <w:rPr>
          <w:sz w:val="22"/>
        </w:rPr>
      </w:pPr>
      <w:r>
        <w:rPr>
          <w:sz w:val="22"/>
        </w:rPr>
      </w:r>
    </w:p>
    <w:p>
      <w:pPr>
        <w:pStyle w:val="JustifiedBody"/>
        <w:rPr>
          <w:i/>
          <w:i/>
        </w:rPr>
      </w:pPr>
      <w:r>
        <w:rPr/>
        <w:t xml:space="preserve">Enron’s investment grade rating will help in the growth of the trading business by opening the market to more traders who otherwise would not trade with a non-investment grade counterparty.  This unrestricted credit support over the life of Net Works coupled with intellectual capital contributed from a decade of reputable intermediation experience results in a major commitment by Enron.  </w:t>
      </w:r>
    </w:p>
    <w:p>
      <w:pPr>
        <w:pStyle w:val="JustifiedBody"/>
        <w:spacing w:before="120" w:after="60"/>
        <w:rPr>
          <w:b/>
          <w:smallCaps/>
          <w:sz w:val="24"/>
        </w:rPr>
      </w:pPr>
      <w:r>
        <w:rPr>
          <w:b/>
          <w:smallCaps/>
          <w:sz w:val="24"/>
        </w:rPr>
        <w:t>Enron’s Risk Management Support</w:t>
      </w:r>
    </w:p>
    <w:p>
      <w:pPr>
        <w:pStyle w:val="JustifiedBody"/>
        <w:rPr>
          <w:b/>
          <w:smallCaps/>
          <w:sz w:val="24"/>
        </w:rPr>
      </w:pPr>
      <w:r>
        <w:rPr/>
        <w:t>Enron has developed a sophisticated Risk Assessment and Control Group which is independent of Enron’s origination organizations and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appropriate risk thresholds are determined and managed for each new market.  See Appendix B of this Memorandum for more details on Enron’s risk management functions.</w:t>
      </w:r>
    </w:p>
    <w:p>
      <w:pPr>
        <w:pStyle w:val="JustifiedBody"/>
        <w:spacing w:before="120" w:after="0"/>
        <w:rPr>
          <w:b/>
          <w:smallCaps/>
          <w:sz w:val="24"/>
        </w:rPr>
      </w:pPr>
      <w:r>
        <w:rPr>
          <w:b/>
          <w:smallCaps/>
          <w:sz w:val="24"/>
          <w:highlight w:val="yellow"/>
        </w:rPr>
        <w:t>The Enron Brand Name</w:t>
      </w:r>
    </w:p>
    <w:p>
      <w:pPr>
        <w:pStyle w:val="JustifiedBody"/>
        <w:spacing w:before="60" w:after="120"/>
        <w:rPr/>
      </w:pPr>
      <w:r>
        <w:rPr/>
        <w:t>Enron was 18</w:t>
      </w:r>
      <w:r>
        <w:rPr>
          <w:vertAlign w:val="superscript"/>
        </w:rPr>
        <w:t>th</w:t>
      </w:r>
      <w:r>
        <w:rPr/>
        <w:t xml:space="preserve"> in Fortune Magazine’s ranking of the 500 largest U.S. companies based upon 1999 revenues and was also recognized by Fortune as the most innovative company of 2000, marking the fifth consecutive year that the company received such recognition.  The public equity markets view Enron as a high growth New Economy company and have rewarded it with a commensurate P/E multiple.  Enron is regarded as a premier corporation.</w:t>
      </w:r>
    </w:p>
    <w:p>
      <w:pPr>
        <w:pStyle w:val="JustifiedBody"/>
        <w:spacing w:before="60" w:after="120"/>
        <w:rPr/>
      </w:pPr>
      <w:r>
        <w:rPr/>
        <w:t>To support the development of the Enron brand the company proactively manages its public relations.  Net Works will benefit from the significant advertising expenditures made by the Company each year and the continued publicity Enron will receive as an innovative company.  As an intermediary, Net Works will obtain credibility from the trust that is associated with dealing with Enron.</w:t>
      </w:r>
    </w:p>
    <w:p>
      <w:pPr>
        <w:pStyle w:val="JustifiedBody"/>
        <w:spacing w:before="60" w:after="120"/>
        <w:rPr/>
      </w:pPr>
      <w:r>
        <w:rPr/>
        <w:t xml:space="preserve"> </w:t>
      </w:r>
    </w:p>
    <w:p>
      <w:pPr>
        <w:sectPr>
          <w:type w:val="continuous"/>
          <w:pgSz w:w="12240" w:h="15840"/>
          <w:pgMar w:left="1440" w:right="1440" w:gutter="0" w:header="432" w:top="1350" w:footer="720" w:bottom="1440"/>
          <w:formProt w:val="false"/>
          <w:textDirection w:val="lrTb"/>
          <w:docGrid w:type="default" w:linePitch="360" w:charSpace="0"/>
        </w:sectPr>
      </w:pPr>
    </w:p>
    <w:p>
      <w:pPr>
        <w:pStyle w:val="Heading4"/>
        <w:spacing w:lineRule="auto" w:line="240" w:before="0" w:after="120"/>
        <w:ind w:hanging="0" w:start="0"/>
        <w:rPr>
          <w:b w:val="false"/>
          <w:i/>
          <w:i/>
          <w:sz w:val="22"/>
        </w:rPr>
      </w:pPr>
      <w:bookmarkStart w:id="10" w:name="_Ref489097981"/>
      <w:r>
        <w:rPr>
          <w:b w:val="false"/>
          <w:i/>
          <w:sz w:val="22"/>
        </w:rPr>
        <w:t>The financial projections contained herein were prepared by the Company’s management and are qualified by, and are subject to, the assumptions and other information set forth in this Memorandum. The projections necessarily are based upon a number of estimates and assumptions that, while presented with numerical specificity and considered reasonable by Enron, are inherently subject to significant business, economic and competitive uncertainties and contingencies, many of which are beyond the control of Enron, and are subject to change.  The projections and actual results will vary and those variations may be material.  The inclusion of the projections herein should not be regarded as a representation of Enron or any other person or entity that the projections will be achieved.  None of Enron, Net Works, CSI, Chase or their respective agents or representatives assumes responsibility for the accuracy or adequacy of the projections contained herein.  Recipients of the Memorandum are cautioned not to place undue reliance on the projections.</w:t>
      </w:r>
      <w:bookmarkEnd w:id="10"/>
    </w:p>
    <w:p>
      <w:pPr>
        <w:pStyle w:val="JustifiedBodyItalics"/>
        <w:rPr/>
      </w:pPr>
      <w:r>
        <w:rPr/>
        <w:t xml:space="preserve">In order to project Net Works economics, a detailed five-year financial model has been developed by management. </w:t>
      </w:r>
    </w:p>
    <w:p>
      <w:pPr>
        <w:pStyle w:val="JustifiedBodyItalics"/>
        <w:rPr/>
      </w:pPr>
      <w:r>
        <w:rPr>
          <w:b/>
          <w:i/>
        </w:rPr>
        <w:t>Acquisition Assumptions.</w:t>
      </w:r>
      <w:r>
        <w:rPr/>
        <w:t xml:space="preserve">  The model assumes platform acquisitions are made by year-end 2000 in each of the Targeted Industries.  In base metals, Enron is in the process of acquiring MG plc.  It will be acquired at adjusted cost by Net Works and the purchase assumptions reflect the actual transaction.  The purchase price in pulp and paper assumes the median for comparable industry transaction multiples.  A combination of debt and cash will be used for each acquisition.  </w:t>
      </w:r>
      <w:r>
        <w:rPr>
          <w:highlight w:val="yellow"/>
        </w:rPr>
        <w:t>Leverage assumptions for each of the acquired companies assume benchmarks relevant for each industry.</w:t>
      </w:r>
      <w:r>
        <w:rPr/>
        <w:t xml:space="preserve">  </w:t>
      </w:r>
    </w:p>
    <w:p>
      <w:pPr>
        <w:pStyle w:val="JustifiedBodyItalics"/>
        <w:rPr/>
      </w:pPr>
      <w:r>
        <w:rPr>
          <w:b/>
          <w:i/>
        </w:rPr>
        <w:t xml:space="preserve">Basis of Forecast.  </w:t>
      </w:r>
      <w:r>
        <w:rPr/>
        <w:t>MG plc’s historical performance forms the foundation for the base metals forecast.  In the pulp and paper industry, a target company has been identified and the model uses that company’s performance as a foundation.  There can be no assurance that this company will be acquired or that a comparable substitute could be found.</w:t>
      </w:r>
    </w:p>
    <w:p>
      <w:pPr>
        <w:pStyle w:val="JustifiedBodyItalics"/>
        <w:spacing w:before="0" w:after="240"/>
        <w:rPr/>
      </w:pPr>
      <w:r>
        <w:rPr/>
        <w:t xml:space="preserve">Operational revenues in the underlying businesses are projected according to industry cycles and do not reflect any added benefits or synergies.  The development of physical and financial trading markets for these industries as well as the opportunity for long-term power-for-commodity swaps are captured as intermediation profits that result in growth in gross margin. </w:t>
      </w:r>
    </w:p>
    <w:tbl>
      <w:tblPr>
        <w:tblW w:w="9360" w:type="dxa"/>
        <w:jc w:val="start"/>
        <w:tblInd w:w="108" w:type="dxa"/>
        <w:tblLayout w:type="fixed"/>
        <w:tblCellMar>
          <w:top w:w="0" w:type="dxa"/>
          <w:start w:w="108" w:type="dxa"/>
          <w:bottom w:w="0" w:type="dxa"/>
          <w:end w:w="108" w:type="dxa"/>
        </w:tblCellMar>
      </w:tblPr>
      <w:tblGrid>
        <w:gridCol w:w="4680"/>
        <w:gridCol w:w="45"/>
        <w:gridCol w:w="4635"/>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sz w:val="24"/>
              </w:rPr>
              <w:t>Gross Profit By Business</w:t>
            </w:r>
          </w:p>
        </w:tc>
      </w:tr>
      <w:tr>
        <w:trPr>
          <w:trHeight w:val="252" w:hRule="atLeast"/>
        </w:trPr>
        <w:tc>
          <w:tcPr>
            <w:tcW w:w="9360" w:type="dxa"/>
            <w:gridSpan w:val="3"/>
            <w:tcBorders>
              <w:start w:val="single" w:sz="4" w:space="0" w:color="000000"/>
              <w:end w:val="single" w:sz="4" w:space="0" w:color="000000"/>
            </w:tcBorders>
          </w:tcPr>
          <w:p>
            <w:pPr>
              <w:pStyle w:val="JustifiedBody"/>
              <w:spacing w:before="60" w:after="0"/>
              <w:ind w:start="-14" w:end="0"/>
              <w:jc w:val="start"/>
              <w:rPr>
                <w:i/>
                <w:i/>
                <w:sz w:val="16"/>
                <w:lang w:val="en-CA"/>
              </w:rPr>
            </w:pPr>
            <w:r>
              <w:rPr>
                <w:i/>
                <w:sz w:val="16"/>
                <w:lang w:val="en-CA"/>
              </w:rPr>
              <w:t xml:space="preserve">($ in millions)                    </w:t>
            </w:r>
          </w:p>
        </w:tc>
      </w:tr>
      <w:tr>
        <w:trPr>
          <w:trHeight w:val="225" w:hRule="atLeast"/>
        </w:trPr>
        <w:tc>
          <w:tcPr>
            <w:tcW w:w="4725" w:type="dxa"/>
            <w:gridSpan w:val="2"/>
            <w:tcBorders>
              <w:start w:val="single" w:sz="4" w:space="0" w:color="000000"/>
            </w:tcBorders>
          </w:tcPr>
          <w:p>
            <w:pPr>
              <w:pStyle w:val="Normal"/>
              <w:numPr>
                <w:ilvl w:val="0"/>
                <w:numId w:val="0"/>
              </w:numPr>
              <w:pBdr>
                <w:bottom w:val="single" w:sz="4" w:space="1" w:color="000000"/>
              </w:pBdr>
              <w:spacing w:before="0" w:after="60"/>
              <w:ind w:start="162" w:end="117"/>
              <w:jc w:val="center"/>
              <w:outlineLvl w:val="0"/>
              <w:rPr>
                <w:b/>
                <w:sz w:val="22"/>
              </w:rPr>
            </w:pPr>
            <w:r>
              <w:rPr>
                <w:b/>
                <w:sz w:val="22"/>
              </w:rPr>
              <w:t>MG plc</w:t>
            </w:r>
          </w:p>
        </w:tc>
        <w:tc>
          <w:tcPr>
            <w:tcW w:w="4635" w:type="dxa"/>
            <w:tcBorders>
              <w:end w:val="single" w:sz="4" w:space="0" w:color="000000"/>
            </w:tcBorders>
          </w:tcPr>
          <w:p>
            <w:pPr>
              <w:pStyle w:val="Normal"/>
              <w:numPr>
                <w:ilvl w:val="0"/>
                <w:numId w:val="0"/>
              </w:numPr>
              <w:pBdr>
                <w:bottom w:val="single" w:sz="4" w:space="1" w:color="000000"/>
              </w:pBdr>
              <w:spacing w:before="0" w:after="60"/>
              <w:ind w:start="117" w:end="162"/>
              <w:jc w:val="center"/>
              <w:outlineLvl w:val="0"/>
              <w:rPr>
                <w:b/>
                <w:sz w:val="22"/>
              </w:rPr>
            </w:pPr>
            <w:r>
              <w:rPr>
                <w:b/>
                <w:sz w:val="22"/>
              </w:rPr>
              <w:t>PaperCo</w:t>
            </w:r>
          </w:p>
        </w:tc>
      </w:tr>
      <w:tr>
        <w:trPr>
          <w:trHeight w:val="2520" w:hRule="atLeast"/>
        </w:trPr>
        <w:tc>
          <w:tcPr>
            <w:tcW w:w="4680" w:type="dxa"/>
            <w:tcBorders>
              <w:start w:val="single" w:sz="4" w:space="0" w:color="000000"/>
            </w:tcBorders>
          </w:tcPr>
          <w:p>
            <w:pPr>
              <w:pStyle w:val="JustifiedBody"/>
              <w:spacing w:before="60" w:after="0"/>
              <w:ind w:start="-198" w:end="0"/>
              <w:jc w:val="center"/>
              <w:rPr/>
            </w:pPr>
            <w:r>
              <w:rPr/>
              <w:drawing>
                <wp:inline distT="0" distB="0" distL="0" distR="0">
                  <wp:extent cx="2896870" cy="2176780"/>
                  <wp:effectExtent l="0" t="0" r="0" b="0"/>
                  <wp:docPr id="38"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 descr="" title=""/>
                          <pic:cNvPicPr>
                            <a:picLocks noChangeAspect="1" noChangeArrowheads="1"/>
                          </pic:cNvPicPr>
                        </pic:nvPicPr>
                        <pic:blipFill>
                          <a:blip r:embed="rId63"/>
                          <a:srcRect l="-10" t="-13" r="-10" b="-13"/>
                          <a:stretch>
                            <a:fillRect/>
                          </a:stretch>
                        </pic:blipFill>
                        <pic:spPr bwMode="auto">
                          <a:xfrm>
                            <a:off x="0" y="0"/>
                            <a:ext cx="2896870" cy="2176780"/>
                          </a:xfrm>
                          <a:prstGeom prst="rect">
                            <a:avLst/>
                          </a:prstGeom>
                          <a:noFill/>
                        </pic:spPr>
                      </pic:pic>
                    </a:graphicData>
                  </a:graphic>
                </wp:inline>
              </w:drawing>
            </w:r>
          </w:p>
        </w:tc>
        <w:tc>
          <w:tcPr>
            <w:tcW w:w="4680" w:type="dxa"/>
            <w:gridSpan w:val="2"/>
            <w:tcBorders>
              <w:end w:val="single" w:sz="4" w:space="0" w:color="000000"/>
            </w:tcBorders>
          </w:tcPr>
          <w:p>
            <w:pPr>
              <w:pStyle w:val="JustifiedBody"/>
              <w:spacing w:before="60" w:after="0"/>
              <w:ind w:start="-168" w:end="0"/>
              <w:jc w:val="center"/>
              <w:rPr/>
            </w:pPr>
            <w:r>
              <w:rPr/>
              <w:drawing>
                <wp:inline distT="0" distB="0" distL="0" distR="0">
                  <wp:extent cx="2908300" cy="2165350"/>
                  <wp:effectExtent l="0" t="0" r="0" b="0"/>
                  <wp:docPr id="39"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 descr="" title=""/>
                          <pic:cNvPicPr>
                            <a:picLocks noChangeAspect="1" noChangeArrowheads="1"/>
                          </pic:cNvPicPr>
                        </pic:nvPicPr>
                        <pic:blipFill>
                          <a:blip r:embed="rId64"/>
                          <a:srcRect l="-10" t="-13" r="-10" b="-13"/>
                          <a:stretch>
                            <a:fillRect/>
                          </a:stretch>
                        </pic:blipFill>
                        <pic:spPr bwMode="auto">
                          <a:xfrm>
                            <a:off x="0" y="0"/>
                            <a:ext cx="2908300" cy="2165350"/>
                          </a:xfrm>
                          <a:prstGeom prst="rect">
                            <a:avLst/>
                          </a:prstGeom>
                          <a:noFill/>
                        </pic:spPr>
                      </pic:pic>
                    </a:graphicData>
                  </a:graphic>
                </wp:inline>
              </w:drawing>
            </w:r>
          </w:p>
        </w:tc>
      </w:tr>
      <w:tr>
        <w:trPr>
          <w:trHeight w:val="252" w:hRule="atLeast"/>
        </w:trPr>
        <w:tc>
          <w:tcPr>
            <w:tcW w:w="9360" w:type="dxa"/>
            <w:gridSpan w:val="3"/>
            <w:tcBorders>
              <w:start w:val="single" w:sz="4" w:space="0" w:color="000000"/>
              <w:bottom w:val="single" w:sz="4" w:space="0" w:color="000000"/>
              <w:end w:val="single" w:sz="4" w:space="0" w:color="000000"/>
            </w:tcBorders>
          </w:tcPr>
          <w:p>
            <w:pPr>
              <w:pStyle w:val="JustifiedBody"/>
              <w:spacing w:before="0" w:after="0"/>
              <w:ind w:start="-18" w:end="0"/>
              <w:jc w:val="center"/>
              <w:rPr>
                <w:lang w:val="en-CA"/>
              </w:rPr>
            </w:pPr>
            <w:r>
              <w:rPr>
                <w:lang w:val="en-CA"/>
              </w:rPr>
              <w:drawing>
                <wp:inline distT="0" distB="0" distL="0" distR="0">
                  <wp:extent cx="3724910" cy="133350"/>
                  <wp:effectExtent l="0" t="0" r="0" b="0"/>
                  <wp:docPr id="40"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 descr="" title=""/>
                          <pic:cNvPicPr>
                            <a:picLocks noChangeAspect="1" noChangeArrowheads="1"/>
                          </pic:cNvPicPr>
                        </pic:nvPicPr>
                        <pic:blipFill>
                          <a:blip r:embed="rId65"/>
                          <a:srcRect l="-10" t="30572" r="-10" b="24604"/>
                          <a:stretch>
                            <a:fillRect/>
                          </a:stretch>
                        </pic:blipFill>
                        <pic:spPr bwMode="auto">
                          <a:xfrm>
                            <a:off x="0" y="0"/>
                            <a:ext cx="3724910" cy="133350"/>
                          </a:xfrm>
                          <a:prstGeom prst="rect">
                            <a:avLst/>
                          </a:prstGeom>
                          <a:noFill/>
                        </pic:spPr>
                      </pic:pic>
                    </a:graphicData>
                  </a:graphic>
                </wp:inline>
              </w:drawing>
            </w:r>
          </w:p>
        </w:tc>
      </w:tr>
    </w:tbl>
    <w:p>
      <w:pPr>
        <w:pStyle w:val="JustifiedBodyItalics"/>
        <w:rPr/>
      </w:pPr>
      <w:r>
        <w:rPr/>
      </w:r>
    </w:p>
    <w:p>
      <w:pPr>
        <w:sectPr>
          <w:headerReference w:type="default" r:id="rId66"/>
          <w:footerReference w:type="default" r:id="rId67"/>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Italics"/>
        <w:numPr>
          <w:ilvl w:val="0"/>
          <w:numId w:val="0"/>
        </w:numPr>
        <w:spacing w:before="120" w:after="60"/>
        <w:outlineLvl w:val="0"/>
        <w:rPr>
          <w:b/>
          <w:i/>
          <w:i/>
          <w:smallCaps/>
        </w:rPr>
      </w:pPr>
      <w:r>
        <w:rPr>
          <w:b/>
          <w:i/>
          <w:smallCaps/>
        </w:rPr>
      </w:r>
    </w:p>
    <w:p>
      <w:pPr>
        <w:pStyle w:val="JustifiedBodyItalics"/>
        <w:numPr>
          <w:ilvl w:val="0"/>
          <w:numId w:val="0"/>
        </w:numPr>
        <w:spacing w:before="120" w:after="60"/>
        <w:outlineLvl w:val="0"/>
        <w:rPr>
          <w:b/>
          <w:smallCaps/>
        </w:rPr>
      </w:pPr>
      <w:r>
        <w:rPr>
          <w:b/>
          <w:i/>
          <w:highlight w:val="yellow"/>
        </w:rPr>
        <w:t>Capital Structure</w:t>
      </w:r>
    </w:p>
    <w:p>
      <w:pPr>
        <w:pStyle w:val="JustifiedBodyItalics"/>
        <w:numPr>
          <w:ilvl w:val="0"/>
          <w:numId w:val="0"/>
        </w:numPr>
        <w:spacing w:before="120" w:after="60"/>
        <w:outlineLvl w:val="0"/>
        <w:rPr/>
      </w:pPr>
      <w:r>
        <w:rPr>
          <w:b/>
          <w:smallCaps/>
          <w:sz w:val="24"/>
        </w:rPr>
        <w:t xml:space="preserve">Base Metals </w:t>
      </w:r>
      <w:r>
        <w:rPr>
          <w:rFonts w:eastAsia="Symbol" w:cs="Symbol" w:ascii="Symbol" w:hAnsi="Symbol"/>
          <w:b/>
          <w:smallCaps/>
          <w:sz w:val="24"/>
        </w:rPr>
        <w:sym w:font="Symbol" w:char="f02d"/>
      </w:r>
      <w:r>
        <w:rPr>
          <w:b/>
          <w:smallCaps/>
          <w:sz w:val="24"/>
        </w:rPr>
        <w:t xml:space="preserve"> MG plc</w:t>
      </w:r>
    </w:p>
    <w:p>
      <w:pPr>
        <w:pStyle w:val="JustifiedBody"/>
        <w:numPr>
          <w:ilvl w:val="0"/>
          <w:numId w:val="0"/>
        </w:numPr>
        <w:spacing w:before="60" w:after="0"/>
        <w:outlineLvl w:val="0"/>
        <w:rPr>
          <w:i/>
          <w:i/>
        </w:rPr>
      </w:pPr>
      <w:r>
        <w:rPr>
          <w:b/>
          <w:i/>
        </w:rPr>
        <w:t xml:space="preserve">Acquisition </w:t>
      </w:r>
    </w:p>
    <w:p>
      <w:pPr>
        <w:pStyle w:val="JustifiedBody"/>
        <w:spacing w:before="60" w:after="120"/>
        <w:rPr/>
      </w:pPr>
      <w:r>
        <w:rPr/>
        <w:t xml:space="preserve">Enron announced the proposed purchase of MG plc on May 22, 2000, at a multiple of 8.2x 2000 pro forma (“PF”)  EBITDA, excluding short-term debt.  The 2000 EBITDA of $55 million is based on 6 months of actual results and 6 months of budgeted estimates.  The purchase price is US$446 million, a 33% premium over the public market value of the company at the time the deal was announced.  At June 30, 2000, MG plc had $1.45 billion in short-term debt associated with inventory, bringing the transaction value to US$1.90 billion.  Enron has assumed this debt will be moved off-balance sheet, non-recourse to MG plc.  While permanent financing has not yet been established, the purchase of MG plc is assumed to be financed with subordinated debt of $82.5 million, representing 1.5x 2000PF EBITDA with the remainder financed through equity from Net Works.  Based on UK accounting standards, goodwill is amortized over a period of 15 years. </w:t>
      </w:r>
    </w:p>
    <w:p>
      <w:pPr>
        <w:pStyle w:val="JustifiedBody"/>
        <w:numPr>
          <w:ilvl w:val="0"/>
          <w:numId w:val="0"/>
        </w:numPr>
        <w:spacing w:before="120" w:after="0"/>
        <w:outlineLvl w:val="0"/>
        <w:rPr>
          <w:i/>
          <w:i/>
        </w:rPr>
      </w:pPr>
      <w:r>
        <w:rPr>
          <w:b/>
          <w:i/>
        </w:rPr>
        <w:t>Base Business</w:t>
      </w:r>
    </w:p>
    <w:p>
      <w:pPr>
        <w:pStyle w:val="JustifiedBody"/>
        <w:spacing w:before="60" w:after="120"/>
        <w:rPr/>
      </w:pPr>
      <w:r>
        <w:rPr/>
        <w:t>The assumptions for MG plc’s base business do not factor in any additional upside from Enron’s trading platform.  Revenue for MG plc’s base business is projected to grow at a declining rate, from 8.5% in 2001, 7.5% in 2002, 4.0% in 2003 and 3.0% thereafter based on historic growth rates and inflation estimates.  Costs of goods sold are projected to grow in line with revenues.  Projected trading income is the five-year historical average.  Commission income grows at 8% for 2001 and 2002 and then 4% thereafter, based on the anticipation that prices will remain stable.  Since the growth in 2000 was abnormal, warehousing income is projected to first drop 10% and then grow at 3% in line with inflation.  Additional compensation expense of $7.6 million from restricted stock purchased from management as part of the transaction is amortized over 30 months.  These assumptions result in a flat EBITDA margin of 0.8%.</w:t>
      </w:r>
    </w:p>
    <w:p>
      <w:pPr>
        <w:pStyle w:val="JustifiedBody"/>
        <w:spacing w:before="60" w:after="120"/>
        <w:rPr/>
      </w:pPr>
      <w:r>
        <w:rPr/>
        <w:t xml:space="preserve">Depreciation is projected using a 10-year straight-line method based on forecasted </w:t>
      </w:r>
      <w:r>
        <w:rPr>
          <w:highlight w:val="yellow"/>
        </w:rPr>
        <w:t>maintenance-related capital expenditures</w:t>
      </w:r>
      <w:r>
        <w:rPr/>
        <w:t xml:space="preserve"> of $4.0 million per year and base net property, plant and equipment (“PP&amp;E”) of $13.5 million.  Capital expenditures are minimal due to MG plc’s low asset base, with the majority of warehouses utilized under operating leases. </w:t>
      </w:r>
    </w:p>
    <w:p>
      <w:pPr>
        <w:pStyle w:val="JustifiedBody"/>
        <w:numPr>
          <w:ilvl w:val="0"/>
          <w:numId w:val="0"/>
        </w:numPr>
        <w:spacing w:before="120" w:after="60"/>
        <w:outlineLvl w:val="0"/>
        <w:rPr>
          <w:highlight w:val="yellow"/>
        </w:rPr>
      </w:pPr>
      <w:r>
        <w:rPr>
          <w:b/>
          <w:i/>
          <w:highlight w:val="yellow"/>
        </w:rPr>
        <w:t>Intermediation</w:t>
      </w:r>
    </w:p>
    <w:p>
      <w:pPr>
        <w:pStyle w:val="JustifiedBody"/>
        <w:spacing w:before="60" w:after="120"/>
        <w:rPr>
          <w:highlight w:val="yellow"/>
        </w:rPr>
      </w:pPr>
      <w:r>
        <w:rPr>
          <w:highlight w:val="yellow"/>
        </w:rPr>
        <w:t>MG plc’s incremental trading and financial services profit is based upon projected margins on long-term commodity-for-power swaps.  Given Enron’s extensive experience in structured power and gas deals,  management anticipates that MG plc will be able to originate eight long-term structured swaps with an average present value of $5 million in 2001, 11 deals in 2002, 30 deals in 2003 and 32 deals thereafter.</w:t>
      </w:r>
    </w:p>
    <w:p>
      <w:pPr>
        <w:pStyle w:val="Normal"/>
        <w:numPr>
          <w:ilvl w:val="0"/>
          <w:numId w:val="0"/>
        </w:numPr>
        <w:spacing w:before="60" w:after="60"/>
        <w:outlineLvl w:val="0"/>
        <w:rPr>
          <w:smallCaps/>
          <w:sz w:val="24"/>
        </w:rPr>
      </w:pPr>
      <w:r>
        <w:rPr>
          <w:b/>
          <w:smallCaps/>
          <w:sz w:val="24"/>
        </w:rPr>
        <w:t>Pulp</w:t>
      </w:r>
      <w:r>
        <w:rPr>
          <w:smallCaps/>
          <w:sz w:val="24"/>
        </w:rPr>
        <w:t xml:space="preserve"> </w:t>
      </w:r>
      <w:r>
        <w:rPr>
          <w:b/>
          <w:smallCaps/>
          <w:sz w:val="24"/>
        </w:rPr>
        <w:t>and Paper</w:t>
      </w:r>
    </w:p>
    <w:p>
      <w:pPr>
        <w:pStyle w:val="JustifiedBody"/>
        <w:numPr>
          <w:ilvl w:val="0"/>
          <w:numId w:val="0"/>
        </w:numPr>
        <w:spacing w:before="60" w:after="60"/>
        <w:outlineLvl w:val="0"/>
        <w:rPr>
          <w:b/>
          <w:i/>
          <w:i/>
        </w:rPr>
      </w:pPr>
      <w:r>
        <w:rPr>
          <w:b/>
          <w:i/>
        </w:rPr>
        <w:t>Acquisition Assumptions</w:t>
      </w:r>
    </w:p>
    <w:p>
      <w:pPr>
        <w:pStyle w:val="JustifiedBody"/>
        <w:rPr/>
      </w:pPr>
      <w:r>
        <w:rPr/>
        <w:t>Net Works has identified a potential acquisition candidate and anticipates that this business could be purchased at a multiple of 8.8x 2000PF EBITDA, resulting in a purchase price of US$1.0 billion.  This transaction multiple represents a 27% premium over the current market value.  PaperCo has no existing debt.  The purchase of PaperCo is assumed to be financed with senior debt of approximately $360 million, representing a 3.0x 2000PF EBITDA multiple, and subordinated debt of approximately $150 million, a 1.25x 2000PF EBITDA multiple.  Senior debt is financed at [10.0%] and subordinated debt at[14.0%].  These assumptions result in a Total Debt/Book Capitalization of 48.5%.  Goodwill is amortized over a period of 20 years.  Net Works estimates a pro forma corporate tax rate of 42.5%.  There can be no assurance that this acquisition can be negotiated or complete on such terms or that a comparable alternative acquisition candidate could be found.</w:t>
      </w:r>
    </w:p>
    <w:p>
      <w:pPr>
        <w:pStyle w:val="JustifiedBody"/>
        <w:keepNext w:val="true"/>
        <w:numPr>
          <w:ilvl w:val="0"/>
          <w:numId w:val="0"/>
        </w:numPr>
        <w:spacing w:before="120" w:after="60"/>
        <w:outlineLvl w:val="0"/>
        <w:rPr>
          <w:b/>
          <w:i/>
          <w:i/>
        </w:rPr>
      </w:pPr>
      <w:r>
        <w:rPr>
          <w:b/>
          <w:i/>
        </w:rPr>
        <w:t>Base Business</w:t>
      </w:r>
    </w:p>
    <w:p>
      <w:pPr>
        <w:pStyle w:val="JustifiedBody"/>
        <w:rPr/>
      </w:pPr>
      <w:r>
        <w:rPr/>
        <w:t>Revenues are based on Net Works internal projections developed using mill-by-mill production rates and Enron’s trading curves.  Estimates for revenue growth reflect a downward cycle starting in 2002.  Net Works has projected that a decrease in cost of goods sold would accompany the cyclical downturn in revenues, counteracted by a 50% increase in the consumer price index for raw material costs.  Staff costs are reduced by 6.5% in 2001 and 13.0% in 2002, reflecting the integration of support staff into Net Works  and significant reduction in marketing staff as a result of product commoditization.  After 2002, staff costs are predicted to grow at a constant rate of 1.4%.  For the base business, these assumptions result in a flat EBITDA margin of approximately 18%.</w:t>
      </w:r>
    </w:p>
    <w:p>
      <w:pPr>
        <w:pStyle w:val="JustifiedBody"/>
        <w:rPr/>
      </w:pPr>
      <w:r>
        <w:rPr/>
        <w:t>Depreciation is projected using a 15-year straight-line method based on the existing life of PP&amp;E.  Forecasted maintenance-related capital expenditures of $35 million per year are based on industry dollar-per-ton comparables.</w:t>
      </w:r>
    </w:p>
    <w:p>
      <w:pPr>
        <w:pStyle w:val="JustifiedBody"/>
        <w:numPr>
          <w:ilvl w:val="0"/>
          <w:numId w:val="0"/>
        </w:numPr>
        <w:spacing w:before="120" w:after="0"/>
        <w:outlineLvl w:val="0"/>
        <w:rPr>
          <w:b/>
          <w:i/>
          <w:i/>
        </w:rPr>
      </w:pPr>
      <w:r>
        <w:rPr>
          <w:b/>
          <w:i/>
        </w:rPr>
        <w:t>Intermediation</w:t>
      </w:r>
    </w:p>
    <w:p>
      <w:pPr>
        <w:pStyle w:val="JustifiedBody"/>
        <w:spacing w:before="60" w:after="120"/>
        <w:rPr/>
      </w:pPr>
      <w:r>
        <w:rPr/>
        <w:t xml:space="preserve">Enron’s Pulp and Paper Group has designed a top-down trading model to quantify the magnitude of the opportunities in the financial and physical trading markets for pulp and newsprint.  Based on projected volumes and prices, the global market for pulp </w:t>
      </w:r>
      <w:r>
        <w:rPr>
          <w:highlight w:val="yellow"/>
        </w:rPr>
        <w:t>(specifically NBSK and NBHK)</w:t>
      </w:r>
      <w:r>
        <w:rPr/>
        <w:t xml:space="preserve"> is $14.2 billion in revenues and the North American market for newsprint is $8.5 billion in revenues in 2001, both developing at a rate of 3% per year.  The financials trading market is expected to quickly develop as the physical market grows.  The size of the financial trading market is expected to be 50% of the physical market in 2001, expanding to 300% by 2005.  Net Works market share is projected to be 60% in 2001, declining to 30% by 2005 as the market becomes more competitive.  Enron’s current market share is 90%.  Based on Enron’s experience in financial trading, trading margins are expected to tighten as activity increases in the market.</w:t>
      </w:r>
    </w:p>
    <w:p>
      <w:pPr>
        <w:pStyle w:val="JustifiedBody"/>
        <w:rPr/>
      </w:pPr>
      <w:r>
        <w:rPr/>
        <w:t>Enron estimates the size of the physical trading market to be 12.5% of the total market size for both pulp and newsprint with a transaction velocity of 1.5 in 2001.  The physical trading market is expected to grow to 20% of the global market with a transaction velocity of 4.0 in 2005.  Transaction velocity is caused by increased hedging activity resulting from greater market transparency coupled with lower transaction costs.  Since brokers currently dominate the market for physical trading, Net Works market share is projected to be 6.5% in 2001 and growing to 20% by 2005.  The projected trading margin decreases over time based on Enron’s experience that spreads tighten as the market becomes more competitive.  The resulting margins from financial trading and physical trading compose the intermediation opportunity in the pulp and newsprint market, which total approximately $97 million in 2001, increasing to $250 million by 2005.</w:t>
      </w:r>
    </w:p>
    <w:p>
      <w:pPr>
        <w:pStyle w:val="JustifiedBody"/>
        <w:rPr>
          <w:color w:val="FF0000"/>
        </w:rPr>
      </w:pPr>
      <w:r>
        <w:rPr/>
        <w:t xml:space="preserve">Additionally, Net Works management has estimated an origination margin of $100 million in 2001 that decreases to $50 million in 2005. </w:t>
      </w:r>
    </w:p>
    <w:p>
      <w:pPr>
        <w:sectPr>
          <w:type w:val="continuous"/>
          <w:pgSz w:w="12240" w:h="15840"/>
          <w:pgMar w:left="1440" w:right="1440" w:gutter="0" w:header="432" w:top="1350" w:footer="720" w:bottom="1440"/>
          <w:formProt w:val="false"/>
          <w:textDirection w:val="lrTb"/>
          <w:docGrid w:type="default" w:linePitch="360" w:charSpace="0"/>
        </w:sectPr>
      </w:pPr>
    </w:p>
    <w:p>
      <w:pPr>
        <w:pStyle w:val="JustifiedBody"/>
        <w:spacing w:before="120" w:after="120"/>
        <w:rPr/>
      </w:pPr>
      <w:r>
        <w:rPr>
          <w:i/>
        </w:rPr>
        <w:t>The following is a summary of certain terms of the Agreement of Limited Partnership of Net Works Partners, L.P., (the “Limited Partnership Agreement”).  This summary is qualified in its entirety by reference to the Limited Partnership Agreement, which will be furnished to qualified investors upon requested and should be reviewed carefully.</w:t>
      </w:r>
      <w:r>
        <w:rPr/>
        <w:t xml:space="preserve"> </w:t>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Heading4"/>
              <w:spacing w:before="120" w:after="60"/>
              <w:ind w:hanging="0" w:start="0"/>
              <w:rPr/>
            </w:pPr>
            <w:bookmarkStart w:id="11" w:name="_Ref489097759"/>
            <w:r>
              <w:rPr/>
              <w:t>The Partnership:</w:t>
            </w:r>
            <w:bookmarkEnd w:id="11"/>
          </w:p>
        </w:tc>
        <w:tc>
          <w:tcPr>
            <w:tcW w:w="5940" w:type="dxa"/>
            <w:tcBorders/>
          </w:tcPr>
          <w:p>
            <w:pPr>
              <w:pStyle w:val="JustifiedBody"/>
              <w:numPr>
                <w:ilvl w:val="0"/>
                <w:numId w:val="0"/>
              </w:numPr>
              <w:spacing w:before="120" w:after="60"/>
              <w:outlineLvl w:val="0"/>
              <w:rPr/>
            </w:pPr>
            <w:r>
              <w:rPr/>
              <w:t>Enron Corp. (together with its subsidiaries and affiliates, "Enron") is establishing Enron Net Works _____, LP, a Delaware limited partnership ("Net Works") to acquire companies in specific industrial sectors where, by utilizing Enron’s business model, there is an opportunity to become a leading principal-based market-maker.</w:t>
            </w:r>
          </w:p>
        </w:tc>
      </w:tr>
      <w:tr>
        <w:trPr/>
        <w:tc>
          <w:tcPr>
            <w:tcW w:w="3618" w:type="dxa"/>
            <w:tcBorders/>
          </w:tcPr>
          <w:p>
            <w:pPr>
              <w:pStyle w:val="Normal"/>
              <w:numPr>
                <w:ilvl w:val="0"/>
                <w:numId w:val="0"/>
              </w:numPr>
              <w:spacing w:before="120" w:after="60"/>
              <w:outlineLvl w:val="0"/>
              <w:rPr>
                <w:b/>
                <w:sz w:val="22"/>
              </w:rPr>
            </w:pPr>
            <w:r>
              <w:rPr>
                <w:b/>
                <w:sz w:val="22"/>
              </w:rPr>
              <w:t>General Partner:</w:t>
            </w:r>
          </w:p>
        </w:tc>
        <w:tc>
          <w:tcPr>
            <w:tcW w:w="5940" w:type="dxa"/>
            <w:tcBorders/>
          </w:tcPr>
          <w:p>
            <w:pPr>
              <w:pStyle w:val="Normal"/>
              <w:numPr>
                <w:ilvl w:val="0"/>
                <w:numId w:val="0"/>
              </w:numPr>
              <w:spacing w:before="120" w:after="60"/>
              <w:jc w:val="both"/>
              <w:outlineLvl w:val="0"/>
              <w:rPr>
                <w:sz w:val="22"/>
              </w:rPr>
            </w:pPr>
            <w:r>
              <w:rPr>
                <w:sz w:val="22"/>
              </w:rPr>
              <w:t>[Enron NW Management LLC,] a Delaware limited liability company (the "General Partner"), to be owned by Enron.  The General Partner will be capitalized by a portion of the Enron Capital Contribution and will manage the business and affairs of Net Works.</w:t>
            </w:r>
          </w:p>
        </w:tc>
      </w:tr>
      <w:tr>
        <w:trPr/>
        <w:tc>
          <w:tcPr>
            <w:tcW w:w="3618" w:type="dxa"/>
            <w:tcBorders/>
          </w:tcPr>
          <w:p>
            <w:pPr>
              <w:pStyle w:val="Normal"/>
              <w:numPr>
                <w:ilvl w:val="0"/>
                <w:numId w:val="0"/>
              </w:numPr>
              <w:spacing w:before="120" w:after="60"/>
              <w:outlineLvl w:val="0"/>
              <w:rPr>
                <w:b/>
                <w:sz w:val="22"/>
              </w:rPr>
            </w:pPr>
            <w:r>
              <w:rPr>
                <w:b/>
                <w:sz w:val="22"/>
              </w:rPr>
              <w:t>Relationship with Enron:</w:t>
            </w:r>
          </w:p>
        </w:tc>
        <w:tc>
          <w:tcPr>
            <w:tcW w:w="5940" w:type="dxa"/>
            <w:tcBorders/>
          </w:tcPr>
          <w:p>
            <w:pPr>
              <w:pStyle w:val="Normal"/>
              <w:numPr>
                <w:ilvl w:val="0"/>
                <w:numId w:val="0"/>
              </w:numPr>
              <w:spacing w:before="120" w:after="60"/>
              <w:jc w:val="both"/>
              <w:outlineLvl w:val="0"/>
              <w:rPr>
                <w:sz w:val="22"/>
              </w:rPr>
            </w:pPr>
            <w:r>
              <w:rPr>
                <w:sz w:val="22"/>
              </w:rPr>
              <w:t>Employees of Enron, acting pursuant to a shared services agreement between Enron and Net Works, will manage the affairs of Net Works under the supervision of the Board of Directors of Net Works described below.  Enron will be obligated to present opportunities in the Targeted Industries to Net Works for the consideration of Net Works' Board of Directors.  Investments in Portfolio Businesses in the Targeted Industries aggregating less than $75 Million will be acquired by Net Works.  Investments of larger amounts will require the approval of Net Works' Board of Directors.  Enron may, but shall not be required to, present investment opportunities in other industries or lines of business to the Board of Directors of Net Works for their consideration.  Enron shall have no obligation to present opportunities in any industry or line of business other than the Targeted Industries (or in any industry or line of business relating to any investment rejected by the Board) to Net Works or to any Partner thereof.</w:t>
            </w:r>
          </w:p>
          <w:p>
            <w:pPr>
              <w:pStyle w:val="Normal"/>
              <w:numPr>
                <w:ilvl w:val="0"/>
                <w:numId w:val="0"/>
              </w:numPr>
              <w:spacing w:before="120" w:after="60"/>
              <w:jc w:val="both"/>
              <w:outlineLvl w:val="0"/>
              <w:rPr>
                <w:sz w:val="22"/>
              </w:rPr>
            </w:pPr>
            <w:r>
              <w:rPr>
                <w:sz w:val="22"/>
              </w:rPr>
            </w:r>
          </w:p>
        </w:tc>
      </w:tr>
      <w:tr>
        <w:trPr/>
        <w:tc>
          <w:tcPr>
            <w:tcW w:w="3618" w:type="dxa"/>
            <w:tcBorders/>
          </w:tcPr>
          <w:p>
            <w:pPr>
              <w:pStyle w:val="Normal"/>
              <w:numPr>
                <w:ilvl w:val="0"/>
                <w:numId w:val="0"/>
              </w:numPr>
              <w:spacing w:before="120" w:after="60"/>
              <w:outlineLvl w:val="0"/>
              <w:rPr>
                <w:b/>
                <w:sz w:val="22"/>
              </w:rPr>
            </w:pPr>
            <w:r>
              <w:rPr>
                <w:b/>
                <w:sz w:val="22"/>
              </w:rPr>
              <w:t>Initial Capitalization:</w:t>
            </w:r>
          </w:p>
        </w:tc>
        <w:tc>
          <w:tcPr>
            <w:tcW w:w="5940" w:type="dxa"/>
            <w:tcBorders/>
          </w:tcPr>
          <w:p>
            <w:pPr>
              <w:pStyle w:val="Normal"/>
              <w:numPr>
                <w:ilvl w:val="0"/>
                <w:numId w:val="0"/>
              </w:numPr>
              <w:spacing w:before="120" w:after="60"/>
              <w:jc w:val="both"/>
              <w:outlineLvl w:val="0"/>
              <w:rPr>
                <w:sz w:val="22"/>
              </w:rPr>
            </w:pPr>
            <w:r>
              <w:rPr>
                <w:sz w:val="22"/>
              </w:rPr>
              <w:t>[$1.0] billion in total equity commitments from Limited Partners as described herein.</w:t>
            </w:r>
          </w:p>
        </w:tc>
      </w:tr>
      <w:tr>
        <w:trPr/>
        <w:tc>
          <w:tcPr>
            <w:tcW w:w="3618" w:type="dxa"/>
            <w:tcBorders/>
          </w:tcPr>
          <w:p>
            <w:pPr>
              <w:pStyle w:val="Normal"/>
              <w:numPr>
                <w:ilvl w:val="0"/>
                <w:numId w:val="0"/>
              </w:numPr>
              <w:spacing w:before="120" w:after="60"/>
              <w:outlineLvl w:val="0"/>
              <w:rPr>
                <w:b/>
                <w:sz w:val="22"/>
              </w:rPr>
            </w:pPr>
            <w:r>
              <w:rPr>
                <w:b/>
                <w:sz w:val="22"/>
              </w:rPr>
              <w:t>Minimum Capital Commitment:</w:t>
            </w:r>
          </w:p>
        </w:tc>
        <w:tc>
          <w:tcPr>
            <w:tcW w:w="5940" w:type="dxa"/>
            <w:tcBorders/>
          </w:tcPr>
          <w:p>
            <w:pPr>
              <w:pStyle w:val="JustifiedBody"/>
              <w:numPr>
                <w:ilvl w:val="0"/>
                <w:numId w:val="0"/>
              </w:numPr>
              <w:spacing w:before="120" w:after="60"/>
              <w:outlineLvl w:val="0"/>
              <w:rPr/>
            </w:pPr>
            <w:r>
              <w:rPr/>
              <w:t>$[50] million, unless agreed otherwise by the General Partner.</w:t>
            </w:r>
          </w:p>
        </w:tc>
      </w:tr>
      <w:tr>
        <w:trPr/>
        <w:tc>
          <w:tcPr>
            <w:tcW w:w="3618" w:type="dxa"/>
            <w:tcBorders/>
          </w:tcPr>
          <w:p>
            <w:pPr>
              <w:pStyle w:val="Normal"/>
              <w:numPr>
                <w:ilvl w:val="0"/>
                <w:numId w:val="0"/>
              </w:numPr>
              <w:spacing w:before="120" w:after="60"/>
              <w:outlineLvl w:val="0"/>
              <w:rPr>
                <w:b/>
                <w:sz w:val="22"/>
              </w:rPr>
            </w:pPr>
            <w:r>
              <w:rPr>
                <w:b/>
                <w:sz w:val="22"/>
              </w:rPr>
              <w:t>Enron Contributed Assets:</w:t>
            </w:r>
          </w:p>
        </w:tc>
        <w:tc>
          <w:tcPr>
            <w:tcW w:w="5940" w:type="dxa"/>
            <w:tcBorders/>
          </w:tcPr>
          <w:p>
            <w:pPr>
              <w:pStyle w:val="Normal"/>
              <w:numPr>
                <w:ilvl w:val="0"/>
                <w:numId w:val="0"/>
              </w:numPr>
              <w:spacing w:before="120" w:after="60"/>
              <w:jc w:val="both"/>
              <w:outlineLvl w:val="0"/>
              <w:rPr>
                <w:sz w:val="22"/>
              </w:rPr>
            </w:pPr>
            <w:r>
              <w:rPr>
                <w:sz w:val="22"/>
              </w:rPr>
              <w:t xml:space="preserve">Enron's existing  book in the pulp and paper business, the enabling technology developed for EnronOnline, the right to use the Enron Business Model in the Targeted Industries in which Net Works actually invests and credit support sufficient to permit Net Works to have a credit rating comparable to Enron to support its activities. </w:t>
            </w:r>
          </w:p>
        </w:tc>
      </w:tr>
    </w:tbl>
    <w:p>
      <w:pPr>
        <w:sectPr>
          <w:headerReference w:type="default" r:id="rId68"/>
          <w:footerReference w:type="default" r:id="rId69"/>
          <w:type w:val="nextPage"/>
          <w:pgSz w:w="12240" w:h="15840"/>
          <w:pgMar w:left="1440" w:right="1440" w:gutter="0" w:header="432" w:top="1354" w:footer="720" w:bottom="1440"/>
          <w:pgNumType w:fmt="decimal"/>
          <w:formProt w:val="false"/>
          <w:textDirection w:val="lrTb"/>
          <w:docGrid w:type="default" w:linePitch="360" w:charSpace="0"/>
        </w:sectPr>
      </w:pP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Initial Closing Date:</w:t>
            </w:r>
          </w:p>
        </w:tc>
        <w:tc>
          <w:tcPr>
            <w:tcW w:w="5940" w:type="dxa"/>
            <w:tcBorders/>
          </w:tcPr>
          <w:p>
            <w:pPr>
              <w:pStyle w:val="Normal"/>
              <w:numPr>
                <w:ilvl w:val="0"/>
                <w:numId w:val="0"/>
              </w:numPr>
              <w:spacing w:before="120" w:after="60"/>
              <w:jc w:val="both"/>
              <w:outlineLvl w:val="0"/>
              <w:rPr>
                <w:sz w:val="22"/>
              </w:rPr>
            </w:pPr>
            <w:r>
              <w:rPr>
                <w:sz w:val="22"/>
              </w:rPr>
              <w:t>An initial closing will be held as soon as practicable after the General Partner determines adequate capital has been committed to commence Net Work operations.  At the initial Closing Date, (i) the General Partner shall contribute a portion of the Enron Contributed Assets having a value equal to 1% of the initial Capital Contributions of the Limited Partners in exchange for the general partner interest in Net Works, (ii) Enron shall contribute the remaining Enron Contributed Assets in exchange for an interest as a Limited Partner of Net Works, and (iii) the Limited Partners being admitted at the initial closing shall contribute cash in the amount of __% of their respective Capital Commitments in exchange for interests as Limited Partners of Net Works.</w:t>
            </w:r>
          </w:p>
        </w:tc>
      </w:tr>
      <w:tr>
        <w:trPr/>
        <w:tc>
          <w:tcPr>
            <w:tcW w:w="3618" w:type="dxa"/>
            <w:tcBorders/>
          </w:tcPr>
          <w:p>
            <w:pPr>
              <w:pStyle w:val="Normal"/>
              <w:numPr>
                <w:ilvl w:val="0"/>
                <w:numId w:val="0"/>
              </w:numPr>
              <w:spacing w:before="120" w:after="60"/>
              <w:outlineLvl w:val="0"/>
              <w:rPr>
                <w:b/>
                <w:sz w:val="22"/>
              </w:rPr>
            </w:pPr>
            <w:r>
              <w:rPr>
                <w:b/>
                <w:sz w:val="22"/>
              </w:rPr>
              <w:t>Subsequent Closing Dates:</w:t>
            </w:r>
          </w:p>
        </w:tc>
        <w:tc>
          <w:tcPr>
            <w:tcW w:w="5940" w:type="dxa"/>
            <w:tcBorders/>
          </w:tcPr>
          <w:p>
            <w:pPr>
              <w:pStyle w:val="Normal"/>
              <w:numPr>
                <w:ilvl w:val="0"/>
                <w:numId w:val="0"/>
              </w:numPr>
              <w:spacing w:before="120" w:after="60"/>
              <w:jc w:val="both"/>
              <w:outlineLvl w:val="0"/>
              <w:rPr>
                <w:sz w:val="22"/>
              </w:rPr>
            </w:pPr>
            <w:r>
              <w:rPr>
                <w:sz w:val="22"/>
              </w:rPr>
              <w:t>One or more subsequent closings will occur for the admission of Limited Partners other than Enron and the initial Limited Investors within 270 days.  At any Closing Date, a Limited Partner being admitted to Net Works shall be required to contribute cash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Qualified Investments made by and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paid as a return of capital , to the preexisting Partners in proportion to their funded Capital Commitments, and the unfunded Capital Commitments of the preexisting Partners will be increased by the amount of capital returned.  In addition, interest of [8%] per annum on the amounts described in (i) shall be paid by the Limited Partner being admitted, and such amounts of interest shall be distributed to the preexisting Partners in proportion to their funded Capital Commitments (without reduction of such preexisting Partners' Capital Accounts).</w:t>
            </w:r>
          </w:p>
        </w:tc>
      </w:tr>
      <w:tr>
        <w:trPr/>
        <w:tc>
          <w:tcPr>
            <w:tcW w:w="3618" w:type="dxa"/>
            <w:tcBorders/>
          </w:tcPr>
          <w:p>
            <w:pPr>
              <w:pStyle w:val="Normal"/>
              <w:numPr>
                <w:ilvl w:val="0"/>
                <w:numId w:val="0"/>
              </w:numPr>
              <w:spacing w:before="120" w:after="60"/>
              <w:outlineLvl w:val="0"/>
              <w:rPr>
                <w:b/>
                <w:sz w:val="22"/>
              </w:rPr>
            </w:pPr>
            <w:r>
              <w:rPr>
                <w:b/>
                <w:sz w:val="22"/>
              </w:rPr>
              <w:t>Investments by Net Works in Targeted Industries:</w:t>
            </w:r>
          </w:p>
        </w:tc>
        <w:tc>
          <w:tcPr>
            <w:tcW w:w="5940" w:type="dxa"/>
            <w:tcBorders/>
          </w:tcPr>
          <w:p>
            <w:pPr>
              <w:pStyle w:val="JustifiedBody"/>
              <w:numPr>
                <w:ilvl w:val="0"/>
                <w:numId w:val="0"/>
              </w:numPr>
              <w:spacing w:before="120" w:after="60"/>
              <w:outlineLvl w:val="0"/>
              <w:rPr/>
            </w:pPr>
            <w:r>
              <w:rPr/>
              <w:t>Net Works will make investments in or acquisitions of businesses (each, a "Portfolio Business") whose products have commodity-like characteristics and which require the acquisition of access to physical product flows in order to apply Enron's  business model, in one or more of the following industries (collectively, the “Targeted Industries"): i) Base Metals; ii) Pulp and Paper; iii) Steel; and iv) Lumber.  The Board of Directors of Net Works shall have the right to approve each  Qualified Investment in the Targeted Industries that exceeds $75 Million.]  If any such Qualified Investment is not approved by the Board of Directors, Enron may pursue any such opportunity which is not accepted by the Board of Directors (and any opportunity relating to the industry or line of business involved in such opportunity) without any obligation to offer any further interest therein to Net Works.</w:t>
            </w:r>
          </w:p>
          <w:p>
            <w:pPr>
              <w:pStyle w:val="Normal"/>
              <w:numPr>
                <w:ilvl w:val="0"/>
                <w:numId w:val="0"/>
              </w:numPr>
              <w:spacing w:before="120" w:after="60"/>
              <w:jc w:val="both"/>
              <w:outlineLvl w:val="0"/>
              <w:rPr>
                <w:sz w:val="22"/>
              </w:rPr>
            </w:pPr>
            <w:r>
              <w:rPr>
                <w:sz w:val="22"/>
              </w:rPr>
              <w:t>Investments in the Targeted Industries ("Qualified Investments")  may include asset purchases, the acquisition of other principal trading companies; or the acquisition of production capabilities, in form of debt, equity security, swap, option, hedge or other investment instruments issued in domestic or international capital market transactions, public or private offerings, commercial financing, buyouts, mergers and acquisitions, recapitalizations, bridge financing and project financing.</w:t>
            </w:r>
          </w:p>
          <w:p>
            <w:pPr>
              <w:pStyle w:val="Normal"/>
              <w:numPr>
                <w:ilvl w:val="0"/>
                <w:numId w:val="0"/>
              </w:numPr>
              <w:spacing w:before="120" w:after="60"/>
              <w:jc w:val="both"/>
              <w:outlineLvl w:val="0"/>
              <w:rPr>
                <w:sz w:val="22"/>
              </w:rPr>
            </w:pPr>
            <w:r>
              <w:rPr>
                <w:sz w:val="22"/>
              </w:rPr>
              <w:t>Investment opportunities which are not Qualified Investments may be offered by Enron to Net Works on conditions that permit the Board of Directors of Net Works to determine expeditiously whether Net Works will participate therein.  Enron may pursue any such opportunity which is not accepted by the Board of Directors (and any opportunity relating to the industry or line of business involved in such opportunity) without any obligation to offer any further interest therein to Net Works.</w:t>
            </w:r>
          </w:p>
        </w:tc>
      </w:tr>
      <w:tr>
        <w:trPr/>
        <w:tc>
          <w:tcPr>
            <w:tcW w:w="3618" w:type="dxa"/>
            <w:tcBorders/>
          </w:tcPr>
          <w:p>
            <w:pPr>
              <w:pStyle w:val="Normal"/>
              <w:numPr>
                <w:ilvl w:val="0"/>
                <w:numId w:val="0"/>
              </w:numPr>
              <w:spacing w:before="120" w:after="60"/>
              <w:outlineLvl w:val="0"/>
              <w:rPr>
                <w:b/>
                <w:sz w:val="22"/>
              </w:rPr>
            </w:pPr>
            <w:r>
              <w:rPr>
                <w:b/>
                <w:sz w:val="22"/>
              </w:rPr>
              <w:t>Excluded Businesses:</w:t>
            </w:r>
          </w:p>
        </w:tc>
        <w:tc>
          <w:tcPr>
            <w:tcW w:w="5940" w:type="dxa"/>
            <w:tcBorders/>
          </w:tcPr>
          <w:p>
            <w:pPr>
              <w:pStyle w:val="Normal"/>
              <w:numPr>
                <w:ilvl w:val="0"/>
                <w:numId w:val="0"/>
              </w:numPr>
              <w:spacing w:before="120" w:after="60"/>
              <w:jc w:val="both"/>
              <w:outlineLvl w:val="0"/>
              <w:rPr>
                <w:sz w:val="22"/>
              </w:rPr>
            </w:pPr>
            <w:r>
              <w:rPr>
                <w:sz w:val="22"/>
              </w:rPr>
              <w:t>Enron shall have the sole right, without any obligation to offer any interest to Net Works therein, to undertake any business activities of any kind or character in each industry or line of business other than the Targeted Industries, including, without limitation, Petrochemicals, data storage gas, power, broadband, emissions credits, coal and all other existing or future business activities of Enron or its affiliates.</w:t>
            </w:r>
          </w:p>
        </w:tc>
      </w:tr>
      <w:tr>
        <w:trPr/>
        <w:tc>
          <w:tcPr>
            <w:tcW w:w="3618" w:type="dxa"/>
            <w:tcBorders/>
          </w:tcPr>
          <w:p>
            <w:pPr>
              <w:pStyle w:val="Normal"/>
              <w:numPr>
                <w:ilvl w:val="0"/>
                <w:numId w:val="0"/>
              </w:numPr>
              <w:spacing w:before="120" w:after="60"/>
              <w:outlineLvl w:val="0"/>
              <w:rPr>
                <w:b/>
                <w:sz w:val="22"/>
              </w:rPr>
            </w:pPr>
            <w:r>
              <w:rPr>
                <w:b/>
                <w:sz w:val="22"/>
              </w:rPr>
              <w:t>Eligible Investors:</w:t>
            </w:r>
          </w:p>
        </w:tc>
        <w:tc>
          <w:tcPr>
            <w:tcW w:w="5940" w:type="dxa"/>
            <w:tcBorders/>
          </w:tcPr>
          <w:p>
            <w:pPr>
              <w:pStyle w:val="Normal"/>
              <w:numPr>
                <w:ilvl w:val="0"/>
                <w:numId w:val="0"/>
              </w:numPr>
              <w:spacing w:before="120" w:after="60"/>
              <w:jc w:val="both"/>
              <w:outlineLvl w:val="0"/>
              <w:rPr>
                <w:sz w:val="22"/>
              </w:rPr>
            </w:pPr>
            <w:r>
              <w:rPr>
                <w:sz w:val="22"/>
              </w:rPr>
              <w:t>Enron and a selected group of private equity investors, including venture capital and private equity investors, financial institutions, private foundations and endowments, governmental pension plans and private pension plans (collectively, the "Limited Partners" and together with the General Partner, the "Partners"), in each case who are "qualified purchasers" within the meaning of the Investment Company Act of 1940 (the "Investment Company Act")(provided, that no more than 25% of the Partnership interests may be held by private pension plans and any government plans that treat themselves as plans subject to the Employee Retirement Income Security Act of 1974 (“ERISA")).</w:t>
            </w:r>
          </w:p>
        </w:tc>
      </w:tr>
      <w:tr>
        <w:trPr/>
        <w:tc>
          <w:tcPr>
            <w:tcW w:w="3618" w:type="dxa"/>
            <w:tcBorders/>
          </w:tcPr>
          <w:p>
            <w:pPr>
              <w:pStyle w:val="Normal"/>
              <w:numPr>
                <w:ilvl w:val="0"/>
                <w:numId w:val="0"/>
              </w:numPr>
              <w:spacing w:before="120" w:after="60"/>
              <w:outlineLvl w:val="0"/>
              <w:rPr>
                <w:b/>
                <w:sz w:val="22"/>
              </w:rPr>
            </w:pPr>
            <w:r>
              <w:rPr>
                <w:b/>
                <w:sz w:val="22"/>
              </w:rPr>
              <w:t>Investment Period:</w:t>
            </w:r>
          </w:p>
        </w:tc>
        <w:tc>
          <w:tcPr>
            <w:tcW w:w="5940" w:type="dxa"/>
            <w:tcBorders/>
          </w:tcPr>
          <w:p>
            <w:pPr>
              <w:pStyle w:val="JustifiedBody"/>
              <w:spacing w:before="120" w:after="0"/>
              <w:rPr/>
            </w:pPr>
            <w:r>
              <w:rPr/>
              <w:t>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commencement thereof.  Upon the expiration of the Commitment Period (as extended, if extended), all Partners will have no further obligation with respect to their unfunded capital Commitments, except to the extent necessary to: (i) complete investments by Net Works in transactions to which Net Works is committed (by agreement or by letter of intent, memorandum of understanding or other pre-contractual expression of mutual intention to complete a described Qualified Investment) as of the end of the Commitment Period, and (ii) complete investments by Net Works in transactions that have had an initial closing as of the end of the Commitment Period (or thereafter as permitted by clause (i) preceding) but which have not yet been fully funded.</w:t>
            </w:r>
          </w:p>
          <w:p>
            <w:pPr>
              <w:pStyle w:val="Normal"/>
              <w:numPr>
                <w:ilvl w:val="0"/>
                <w:numId w:val="0"/>
              </w:numPr>
              <w:spacing w:before="120" w:after="60"/>
              <w:jc w:val="both"/>
              <w:outlineLvl w:val="0"/>
              <w:rPr>
                <w:sz w:val="22"/>
              </w:rPr>
            </w:pPr>
            <w:r>
              <w:rPr>
                <w:sz w:val="22"/>
              </w:rPr>
              <w:t>Capital Commitments may be drawn down to fund the acquisition of Qualified Investments, to repay indebtedness under any credit facility of Net Works or of a Portfolio Business, or to fund working capital needs of Net Works.</w:t>
            </w:r>
          </w:p>
          <w:p>
            <w:pPr>
              <w:pStyle w:val="JustifiedBody"/>
              <w:spacing w:before="120" w:after="120"/>
              <w:rPr/>
            </w:pPr>
            <w:r>
              <w:rPr/>
              <w:t>Net Works will dissolve with the first to occur of the following:</w:t>
            </w:r>
          </w:p>
          <w:p>
            <w:pPr>
              <w:pStyle w:val="Normal"/>
              <w:spacing w:before="0" w:after="120"/>
              <w:ind w:hanging="252" w:start="252" w:end="0"/>
              <w:jc w:val="both"/>
              <w:rPr/>
            </w:pPr>
            <w:r>
              <w:rPr>
                <w:sz w:val="22"/>
              </w:rPr>
              <w:t>i)</w:t>
              <w:tab/>
              <w:t>a determination by the General Partner of the occurrence of a</w:t>
            </w:r>
            <w:r>
              <w:rPr/>
              <w:t xml:space="preserve"> </w:t>
            </w:r>
            <w:r>
              <w:rPr>
                <w:sz w:val="22"/>
              </w:rPr>
              <w:t>material adverse change in the aggregate investment opportunities available to Net Works;</w:t>
            </w:r>
          </w:p>
          <w:p>
            <w:pPr>
              <w:pStyle w:val="Normal"/>
              <w:spacing w:before="0" w:after="120"/>
              <w:ind w:hanging="252" w:start="252" w:end="0"/>
              <w:jc w:val="both"/>
              <w:rPr>
                <w:sz w:val="22"/>
              </w:rPr>
            </w:pPr>
            <w:r>
              <w:rPr>
                <w:sz w:val="22"/>
              </w:rPr>
              <w:t>ii) consent of the General Partner and a majority in interest of the Limited Partners;</w:t>
            </w:r>
          </w:p>
          <w:p>
            <w:pPr>
              <w:pStyle w:val="Normal"/>
              <w:spacing w:before="0" w:after="120"/>
              <w:ind w:hanging="252" w:start="252" w:end="0"/>
              <w:jc w:val="both"/>
              <w:rPr>
                <w:sz w:val="22"/>
              </w:rPr>
            </w:pPr>
            <w:r>
              <w:rPr>
                <w:sz w:val="22"/>
              </w:rPr>
              <w:t>iii) the second anniversary of the expiration of the initial Commitment Period;</w:t>
            </w:r>
          </w:p>
          <w:p>
            <w:pPr>
              <w:pStyle w:val="Normal"/>
              <w:spacing w:before="0" w:after="120"/>
              <w:ind w:hanging="252" w:start="252" w:end="0"/>
              <w:jc w:val="both"/>
              <w:rPr>
                <w:sz w:val="22"/>
              </w:rPr>
            </w:pPr>
            <w:r>
              <w:rPr>
                <w:sz w:val="22"/>
              </w:rPr>
              <w:t>iv) the completion of the liquidation of all Partnership assets and distribution of the proceeds thereof;</w:t>
            </w:r>
          </w:p>
          <w:p>
            <w:pPr>
              <w:pStyle w:val="Normal"/>
              <w:spacing w:before="0" w:after="120"/>
              <w:ind w:hanging="252" w:start="252" w:end="0"/>
              <w:jc w:val="both"/>
              <w:rPr>
                <w:sz w:val="22"/>
              </w:rPr>
            </w:pPr>
            <w:r>
              <w:rPr>
                <w:sz w:val="22"/>
              </w:rPr>
              <w:t xml:space="preserve">v) the removal or withdrawal of the General Partner; and </w:t>
            </w:r>
          </w:p>
          <w:p>
            <w:pPr>
              <w:pStyle w:val="Normal"/>
              <w:numPr>
                <w:ilvl w:val="0"/>
                <w:numId w:val="0"/>
              </w:numPr>
              <w:spacing w:before="120" w:after="60"/>
              <w:ind w:hanging="252" w:start="252" w:end="0"/>
              <w:jc w:val="both"/>
              <w:outlineLvl w:val="0"/>
              <w:rPr>
                <w:sz w:val="22"/>
              </w:rPr>
            </w:pPr>
            <w:r>
              <w:rPr>
                <w:sz w:val="22"/>
              </w:rPr>
              <w:t>vi) the bankruptcy, etc. (i.e., the occurrence of an event of the type described in Section 17</w:t>
              <w:noBreakHyphen/>
              <w:t>402(a)(4) or (5) of the Delaware Revised Uniform Limited Partnership Act) of Net Works or the General Partner.</w:t>
            </w:r>
          </w:p>
        </w:tc>
      </w:tr>
      <w:tr>
        <w:trPr/>
        <w:tc>
          <w:tcPr>
            <w:tcW w:w="3618" w:type="dxa"/>
            <w:tcBorders/>
          </w:tcPr>
          <w:p>
            <w:pPr>
              <w:pStyle w:val="Normal"/>
              <w:numPr>
                <w:ilvl w:val="0"/>
                <w:numId w:val="0"/>
              </w:numPr>
              <w:spacing w:before="120" w:after="60"/>
              <w:outlineLvl w:val="0"/>
              <w:rPr>
                <w:b/>
                <w:sz w:val="22"/>
              </w:rPr>
            </w:pPr>
            <w:r>
              <w:rPr>
                <w:b/>
                <w:sz w:val="22"/>
              </w:rPr>
              <w:t>Reporting and Meetings:</w:t>
            </w:r>
          </w:p>
        </w:tc>
        <w:tc>
          <w:tcPr>
            <w:tcW w:w="5940" w:type="dxa"/>
            <w:tcBorders/>
          </w:tcPr>
          <w:p>
            <w:pPr>
              <w:pStyle w:val="JustifiedBody"/>
              <w:spacing w:before="120" w:after="0"/>
              <w:rPr/>
            </w:pPr>
            <w:r>
              <w:rPr/>
              <w:t>Each Partner will receive (i) audited annual financial reports of Net Works; (ii) quarterly unaudited financial reports of Net Works; and (iii) other information, as specified in the Partnership Agreement.</w:t>
            </w:r>
          </w:p>
          <w:p>
            <w:pPr>
              <w:pStyle w:val="TableText"/>
              <w:spacing w:before="120" w:after="120"/>
              <w:rPr/>
            </w:pPr>
            <w:r>
              <w:rPr/>
              <w:t>Net Works will grant to each Partner a reasonable right of access to information regarding Net Works and visitation rights to permit each Partner to inspect Net Works' books and records, to monitor Net Works' investments and to evaluate the General Partner’s performance.  The Partners will agree to an appropriate reporting mechanism for individual Portfolio Businesses acquired and investing activities.</w:t>
            </w:r>
          </w:p>
          <w:p>
            <w:pPr>
              <w:pStyle w:val="Normal"/>
              <w:numPr>
                <w:ilvl w:val="0"/>
                <w:numId w:val="0"/>
              </w:numPr>
              <w:spacing w:before="120" w:after="60"/>
              <w:outlineLvl w:val="0"/>
              <w:rPr>
                <w:b/>
                <w:sz w:val="22"/>
              </w:rPr>
            </w:pPr>
            <w:r>
              <w:rPr>
                <w:sz w:val="22"/>
              </w:rPr>
              <w:t>The Partnership Agreement will provide for annual meetings among the Partners.</w:t>
            </w:r>
          </w:p>
        </w:tc>
      </w:tr>
      <w:tr>
        <w:trPr/>
        <w:tc>
          <w:tcPr>
            <w:tcW w:w="3618" w:type="dxa"/>
            <w:tcBorders/>
          </w:tcPr>
          <w:p>
            <w:pPr>
              <w:pStyle w:val="Normal"/>
              <w:numPr>
                <w:ilvl w:val="0"/>
                <w:numId w:val="0"/>
              </w:numPr>
              <w:spacing w:before="120" w:after="60"/>
              <w:jc w:val="both"/>
              <w:outlineLvl w:val="0"/>
              <w:rPr>
                <w:b/>
                <w:sz w:val="22"/>
              </w:rPr>
            </w:pPr>
            <w:r>
              <w:rPr>
                <w:b/>
                <w:sz w:val="22"/>
              </w:rPr>
              <w:t>Distributions:</w:t>
            </w:r>
          </w:p>
        </w:tc>
        <w:tc>
          <w:tcPr>
            <w:tcW w:w="5940" w:type="dxa"/>
            <w:tcBorders/>
          </w:tcPr>
          <w:p>
            <w:pPr>
              <w:pStyle w:val="JustifiedBody"/>
              <w:spacing w:before="120" w:after="0"/>
              <w:rPr/>
            </w:pPr>
            <w:r>
              <w:rPr/>
              <w:t>All distributions from the Partnership shall be made in accordance with sharing ratios of the Partners.  A Partner's sharing ratio shall be the ratio (expressed as a percentage), that the aggregate capital contributions of such Partner bears to the aggregate capital contributions of all Partners.</w:t>
            </w:r>
          </w:p>
          <w:p>
            <w:pPr>
              <w:pStyle w:val="Normal"/>
              <w:jc w:val="both"/>
              <w:rPr>
                <w:sz w:val="22"/>
              </w:rPr>
            </w:pPr>
            <w:r>
              <w:rPr>
                <w:sz w:val="22"/>
              </w:rPr>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618" w:type="dxa"/>
            <w:tcBorders/>
          </w:tcPr>
          <w:p>
            <w:pPr>
              <w:pStyle w:val="Normal"/>
              <w:numPr>
                <w:ilvl w:val="0"/>
                <w:numId w:val="0"/>
              </w:numPr>
              <w:spacing w:before="120" w:after="60"/>
              <w:outlineLvl w:val="0"/>
              <w:rPr>
                <w:b/>
                <w:sz w:val="22"/>
              </w:rPr>
            </w:pPr>
            <w:r>
              <w:rPr>
                <w:b/>
                <w:sz w:val="22"/>
              </w:rPr>
              <w:t>Timing of Distributions:</w:t>
            </w:r>
          </w:p>
        </w:tc>
        <w:tc>
          <w:tcPr>
            <w:tcW w:w="5940" w:type="dxa"/>
            <w:tcBorders/>
          </w:tcPr>
          <w:p>
            <w:pPr>
              <w:pStyle w:val="JustifiedBody"/>
              <w:spacing w:before="120" w:after="0"/>
              <w:rPr/>
            </w:pPr>
            <w:r>
              <w:rPr/>
              <w:t>Net Works will make distributions periodically as determined by the General Partner when funds (net of any amounts necessary or advisable to pay expenses, to repay any Company debt obligations, or any reserves that the General Partner in its reasonable judgment deems necessary to meet other obligations of Net Works (including operating expenses)) are available therefor.</w:t>
            </w:r>
          </w:p>
        </w:tc>
      </w:tr>
      <w:tr>
        <w:trPr/>
        <w:tc>
          <w:tcPr>
            <w:tcW w:w="3618" w:type="dxa"/>
            <w:tcBorders/>
          </w:tcPr>
          <w:p>
            <w:pPr>
              <w:pStyle w:val="Normal"/>
              <w:numPr>
                <w:ilvl w:val="0"/>
                <w:numId w:val="0"/>
              </w:numPr>
              <w:spacing w:before="120" w:after="60"/>
              <w:outlineLvl w:val="0"/>
              <w:rPr>
                <w:b/>
                <w:sz w:val="22"/>
              </w:rPr>
            </w:pPr>
            <w:r>
              <w:rPr>
                <w:b/>
                <w:sz w:val="22"/>
              </w:rPr>
              <w:t>Termination/Liquidating Events:</w:t>
            </w:r>
          </w:p>
        </w:tc>
        <w:tc>
          <w:tcPr>
            <w:tcW w:w="5940" w:type="dxa"/>
            <w:tcBorders/>
          </w:tcPr>
          <w:p>
            <w:pPr>
              <w:pStyle w:val="JustifiedBody"/>
              <w:spacing w:before="120" w:after="0"/>
              <w:rPr/>
            </w:pPr>
            <w:r>
              <w:rPr/>
              <w:t>In addition to the termination events identified under "Investment Period" above, by vote of a required interest of the Partners, Net Works may be terminated upon the occurrence of certain events specified in the Partnership Agreement, including a Removal Event (as defined below) or a material adverse change in the financial condition of Net Works.  The General Partner will be obligated to notify the Partners of the occurrence of any of the termination events listed above.</w:t>
            </w:r>
          </w:p>
        </w:tc>
      </w:tr>
      <w:tr>
        <w:trPr/>
        <w:tc>
          <w:tcPr>
            <w:tcW w:w="3618" w:type="dxa"/>
            <w:tcBorders/>
          </w:tcPr>
          <w:p>
            <w:pPr>
              <w:pStyle w:val="Normal"/>
              <w:numPr>
                <w:ilvl w:val="0"/>
                <w:numId w:val="0"/>
              </w:numPr>
              <w:spacing w:before="120" w:after="60"/>
              <w:outlineLvl w:val="0"/>
              <w:rPr>
                <w:b/>
                <w:sz w:val="22"/>
              </w:rPr>
            </w:pPr>
            <w:r>
              <w:rPr>
                <w:b/>
                <w:sz w:val="22"/>
              </w:rPr>
              <w:t>Call Options:</w:t>
            </w:r>
          </w:p>
        </w:tc>
        <w:tc>
          <w:tcPr>
            <w:tcW w:w="5940" w:type="dxa"/>
            <w:tcBorders/>
          </w:tcPr>
          <w:p>
            <w:pPr>
              <w:pStyle w:val="Normal"/>
              <w:numPr>
                <w:ilvl w:val="0"/>
                <w:numId w:val="0"/>
              </w:numPr>
              <w:spacing w:before="120" w:after="60"/>
              <w:jc w:val="both"/>
              <w:outlineLvl w:val="0"/>
              <w:rPr>
                <w:sz w:val="22"/>
              </w:rPr>
            </w:pPr>
            <w:r>
              <w:rPr>
                <w:sz w:val="22"/>
              </w:rPr>
              <w:t>The Partnership Agreement will provide for a mechanism whereby after a period of three years from the date Net Works commences operations, Enron or its designee can require the Limited Partners to sell the Limited Partner interests in Net Works to the General Partner pursuant to an agreed valuation method for determining the fair market value of the Limited Partner interests at the date the call is exercised (the "Call Option").</w:t>
            </w:r>
          </w:p>
        </w:tc>
      </w:tr>
      <w:tr>
        <w:trPr/>
        <w:tc>
          <w:tcPr>
            <w:tcW w:w="3618" w:type="dxa"/>
            <w:tcBorders/>
          </w:tcPr>
          <w:p>
            <w:pPr>
              <w:pStyle w:val="Normal"/>
              <w:numPr>
                <w:ilvl w:val="0"/>
                <w:numId w:val="0"/>
              </w:numPr>
              <w:spacing w:before="120" w:after="60"/>
              <w:outlineLvl w:val="0"/>
              <w:rPr>
                <w:b/>
                <w:sz w:val="22"/>
              </w:rPr>
            </w:pPr>
            <w:r>
              <w:rPr>
                <w:b/>
                <w:sz w:val="22"/>
              </w:rPr>
              <w:t>Withdrawal and Transfer</w:t>
            </w:r>
          </w:p>
        </w:tc>
        <w:tc>
          <w:tcPr>
            <w:tcW w:w="5940" w:type="dxa"/>
            <w:tcBorders/>
          </w:tcPr>
          <w:p>
            <w:pPr>
              <w:pStyle w:val="JustifiedBody"/>
              <w:spacing w:before="120" w:after="0"/>
              <w:rPr/>
            </w:pPr>
            <w:r>
              <w:rPr/>
              <w:t>Except in the case of a sale, transfer or assignment to an affiliate or pursuant to the Call Option described above, the Limited Partners may not sell, assign or transfer their partnership interests (including by merger or operation of law) except with the prior consent of the General Partner (which consent may be  withheld in the sole discretion of the General Partner, provided, that any transferee must be a qualified purchaser within the meaning of the Investment Company Act).  Enron may not transfer its interest as General Partner of Net Works to non-affiliates of Enron without the consent of the Board of Directors of Net Works ,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sz w:val="22"/>
              </w:rPr>
            </w:pPr>
            <w:r>
              <w:rPr>
                <w:sz w:val="22"/>
              </w:rPr>
              <w:t>In addition, (except in the case of a sale, transfer or assignment to an affiliate and a required sale as described under “Call Options” above) Partners may not withdraw from Net Works prior to its termination.</w:t>
            </w:r>
          </w:p>
        </w:tc>
      </w:tr>
      <w:tr>
        <w:trPr/>
        <w:tc>
          <w:tcPr>
            <w:tcW w:w="3618" w:type="dxa"/>
            <w:tcBorders/>
          </w:tcPr>
          <w:p>
            <w:pPr>
              <w:pStyle w:val="Normal"/>
              <w:numPr>
                <w:ilvl w:val="0"/>
                <w:numId w:val="0"/>
              </w:numPr>
              <w:spacing w:before="120" w:after="60"/>
              <w:outlineLvl w:val="0"/>
              <w:rPr>
                <w:b/>
                <w:sz w:val="22"/>
              </w:rPr>
            </w:pPr>
            <w:r>
              <w:rPr>
                <w:b/>
                <w:sz w:val="22"/>
              </w:rPr>
              <w:t>Management:</w:t>
            </w:r>
          </w:p>
        </w:tc>
        <w:tc>
          <w:tcPr>
            <w:tcW w:w="5940" w:type="dxa"/>
            <w:tcBorders/>
          </w:tcPr>
          <w:p>
            <w:pPr>
              <w:pStyle w:val="Normal"/>
              <w:suppressAutoHyphens w:val="true"/>
              <w:spacing w:before="120" w:after="0"/>
              <w:ind w:start="-14" w:end="0"/>
              <w:jc w:val="both"/>
              <w:rPr>
                <w:sz w:val="22"/>
              </w:rPr>
            </w:pPr>
            <w:r>
              <w:rPr>
                <w:sz w:val="22"/>
              </w:rPr>
              <w:t>Day-to-day management of Net Works and the structuring and negotiation of Qualified Investments will be performed under the direction of the General Partner by employees of Enron pursuant to a shared services agreement to be entered into between Enron and Net Works.</w:t>
            </w:r>
          </w:p>
          <w:p>
            <w:pPr>
              <w:pStyle w:val="Normal"/>
              <w:suppressAutoHyphens w:val="true"/>
              <w:spacing w:before="120" w:after="120"/>
              <w:ind w:start="-14" w:end="0"/>
              <w:jc w:val="both"/>
              <w:rPr>
                <w:b/>
                <w:i/>
                <w:i/>
                <w:sz w:val="22"/>
                <w:u w:val="single"/>
              </w:rPr>
            </w:pPr>
            <w:r>
              <w:rPr>
                <w:sz w:val="22"/>
              </w:rPr>
              <w:t>Net Works will have a Board of Directors, consisting of four directors appointed by Enron and four directors appointed collectively by the vote of a majority in sharing ratios of the Limited Partners (other than the Enron Limited Partner).  A majority of the Board of Directors will constitute a quorum.  Officers and personnel of Enron will oversee the operations of Net Works on a day-to-day basis and with respect to the Portfolio Businesses, subject to the Board's consent rights described below.  The Board of Directors shall review and approve annual budgets prepared by Enron for Company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spacing w:before="0" w:after="60"/>
              <w:ind w:hanging="346" w:start="346" w:end="0"/>
              <w:jc w:val="both"/>
              <w:rPr>
                <w:sz w:val="22"/>
              </w:rPr>
            </w:pPr>
            <w:r>
              <w:rPr>
                <w:sz w:val="22"/>
              </w:rPr>
              <w:t>i)</w:t>
              <w:tab/>
              <w:t xml:space="preserve"> the approval of any investment in any Portfolio Business in any Targeted Industry  (including Capital Commitments and debt incurred or assumed) of more than $75 Million;</w:t>
            </w:r>
          </w:p>
          <w:p>
            <w:pPr>
              <w:pStyle w:val="Normal"/>
              <w:tabs>
                <w:tab w:val="left" w:pos="720" w:leader="none"/>
                <w:tab w:val="left" w:pos="1440" w:leader="none"/>
              </w:tabs>
              <w:spacing w:before="0" w:after="60"/>
              <w:ind w:hanging="346" w:start="346" w:end="0"/>
              <w:jc w:val="both"/>
              <w:rPr>
                <w:sz w:val="22"/>
              </w:rPr>
            </w:pPr>
            <w:r>
              <w:rPr>
                <w:sz w:val="22"/>
              </w:rPr>
              <w:t>ii)</w:t>
              <w:tab/>
              <w:t>the entering into, modification of, termination or waiver of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iii) </w:t>
              <w:tab/>
              <w:t xml:space="preserve">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sz w:val="22"/>
              </w:rPr>
            </w:pPr>
            <w:r>
              <w:rPr>
                <w:sz w:val="22"/>
              </w:rPr>
              <w:t>v)</w:t>
              <w:tab/>
              <w:t xml:space="preserve">the appointment of any independent accountant or firm of independent accountants other than one of the "big five" international accounting firms to serve as Net Works' or any Portfolio Business's auditors; </w:t>
            </w:r>
          </w:p>
          <w:p>
            <w:pPr>
              <w:pStyle w:val="Normal"/>
              <w:tabs>
                <w:tab w:val="left" w:pos="720" w:leader="none"/>
                <w:tab w:val="left" w:pos="1440" w:leader="none"/>
              </w:tabs>
              <w:spacing w:before="0" w:after="60"/>
              <w:ind w:hanging="346" w:start="346" w:end="0"/>
              <w:jc w:val="both"/>
              <w:rPr>
                <w:sz w:val="22"/>
              </w:rPr>
            </w:pPr>
            <w:r>
              <w:rPr>
                <w:sz w:val="22"/>
              </w:rPr>
              <w:t xml:space="preserve">vi) the commencement by Net Works or any Portfolio Business of a voluntary case or proceeding under any applicable Federal, State or foreign bankruptcy, insolvency, reorganization or other similar law or of any other voluntary case or proceeding to be adjudicated a bankrupt or insolvent or the consent by Net Works or such Portfolio Business to the entry of a decree or order for relief against Net Works or such Portfolio Business in an involuntary case or proceeding under any applicable Federal, State or foreign bankruptcy or insolvency case or proceeding against Net Works or such Portfolio Business, or the filing by Net Works or such Portfolio Business of a petition or answer or consent seeking reorganization or relief under any applicable Federal, State or foreign law, or the consent by Net Works or such Portfolio Business to the filing of such petition or to the appointment of or taking possession by a custodian, receiver, liquidator, assignee, trustee, sequestrator or similar official of any substantial part of its property, or the making by Net Works or such Portfolio Business of an assignment for the benefit of creditors, or the admission by Net Works or such Portfolio Business in writing of its inability to pay its debts generally as they become due, or the taking of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(other than the Enron Limited Partner) will have the right:</w:t>
            </w:r>
          </w:p>
          <w:p>
            <w:pPr>
              <w:pStyle w:val="Normal"/>
              <w:numPr>
                <w:ilvl w:val="0"/>
                <w:numId w:val="0"/>
              </w:numPr>
              <w:spacing w:before="60" w:after="60"/>
              <w:ind w:hanging="252" w:start="252" w:end="0"/>
              <w:outlineLvl w:val="0"/>
              <w:rPr>
                <w:sz w:val="22"/>
              </w:rPr>
            </w:pPr>
            <w:r>
              <w:rPr>
                <w:sz w:val="22"/>
              </w:rPr>
              <w:t xml:space="preserve">i) </w:t>
              <w:tab/>
              <w:t xml:space="preserve"> to terminate Enron as General Partner if the General Partner takes or fails to take any action or engages in any course of conduct that constitutes bad faith, gross negligence, willful or reckless misconduct, reckless disregard of its obligations under the administrative services agreement or fraud;</w:t>
            </w:r>
          </w:p>
          <w:p>
            <w:pPr>
              <w:pStyle w:val="Normal"/>
              <w:numPr>
                <w:ilvl w:val="0"/>
                <w:numId w:val="0"/>
              </w:numPr>
              <w:spacing w:before="60" w:after="60"/>
              <w:ind w:hanging="252" w:start="252" w:end="0"/>
              <w:outlineLvl w:val="0"/>
              <w:rPr>
                <w:sz w:val="22"/>
              </w:rPr>
            </w:pPr>
            <w:r>
              <w:rPr>
                <w:sz w:val="22"/>
              </w:rPr>
              <w:t>ii)</w:t>
              <w:tab/>
              <w:t>upon such termination, to appoint and remove a successor General Partner for Net Works; and</w:t>
            </w:r>
          </w:p>
          <w:p>
            <w:pPr>
              <w:pStyle w:val="Normal"/>
              <w:numPr>
                <w:ilvl w:val="0"/>
                <w:numId w:val="0"/>
              </w:numPr>
              <w:spacing w:before="60" w:after="60"/>
              <w:ind w:hanging="252" w:start="252" w:end="0"/>
              <w:outlineLvl w:val="0"/>
              <w:rPr>
                <w:sz w:val="22"/>
              </w:rPr>
            </w:pPr>
            <w:r>
              <w:rPr>
                <w:sz w:val="22"/>
              </w:rPr>
              <w:t xml:space="preserve">iii) </w:t>
              <w:tab/>
              <w:t>to approve any material amendment of the Partnership Agreement of Net Works.</w:t>
            </w:r>
          </w:p>
        </w:tc>
      </w:tr>
      <w:tr>
        <w:trPr/>
        <w:tc>
          <w:tcPr>
            <w:tcW w:w="3618" w:type="dxa"/>
            <w:tcBorders/>
          </w:tcPr>
          <w:p>
            <w:pPr>
              <w:pStyle w:val="Normal"/>
              <w:numPr>
                <w:ilvl w:val="0"/>
                <w:numId w:val="0"/>
              </w:numPr>
              <w:spacing w:before="120" w:after="60"/>
              <w:outlineLvl w:val="0"/>
              <w:rPr>
                <w:b/>
                <w:sz w:val="22"/>
              </w:rPr>
            </w:pPr>
            <w:r>
              <w:rPr>
                <w:b/>
                <w:sz w:val="22"/>
              </w:rPr>
              <w:t>Shared Services Arrangements; Management Fees:</w:t>
            </w:r>
          </w:p>
        </w:tc>
        <w:tc>
          <w:tcPr>
            <w:tcW w:w="5940" w:type="dxa"/>
            <w:tcBorders/>
          </w:tcPr>
          <w:p>
            <w:pPr>
              <w:pStyle w:val="Normal"/>
              <w:suppressAutoHyphens w:val="true"/>
              <w:spacing w:before="120" w:after="120"/>
              <w:ind w:start="-14" w:end="0"/>
              <w:jc w:val="both"/>
              <w:rPr>
                <w:sz w:val="22"/>
              </w:rPr>
            </w:pPr>
            <w:r>
              <w:rPr>
                <w:sz w:val="22"/>
              </w:rPr>
              <w:t>For services provided by Enron under the shared services agreement, Enron will be paid a fee designed to reimburse Enron  for its direct and allocated costs of rendering the services contemplated by the shared services agreement.</w:t>
            </w:r>
          </w:p>
          <w:p>
            <w:pPr>
              <w:pStyle w:val="Normal"/>
              <w:suppressAutoHyphens w:val="true"/>
              <w:spacing w:before="120" w:after="120"/>
              <w:ind w:start="-14" w:end="0"/>
              <w:jc w:val="both"/>
              <w:rPr/>
            </w:pPr>
            <w:r>
              <w:rPr>
                <w:sz w:val="22"/>
              </w:rPr>
              <w:t>The General Partner will be paid a cash Management Fee (the “Management Fee”) by Net Works.  During the Commitment Period, the Management Fee shall be equal to [1.5]% per annum, based on the total of the funded and unfunded Commitments.  After the Commitment Period, the Management Fee will equal [1.5]% per annum of the [amount of funded Commitments, reduced by distribu</w:t>
              <w:softHyphen/>
              <w:t xml:space="preserve">tions] </w:t>
            </w:r>
            <w:r>
              <w:rPr>
                <w:b/>
                <w:i/>
                <w:sz w:val="22"/>
              </w:rPr>
              <w:t xml:space="preserve">or </w:t>
            </w:r>
            <w:r>
              <w:rPr>
                <w:sz w:val="22"/>
              </w:rPr>
              <w:t>[cost basis of assets remaining in Net Works.  Management Fees will be payable quarterly in arrears.</w:t>
            </w:r>
          </w:p>
          <w:p>
            <w:pPr>
              <w:pStyle w:val="Normal"/>
              <w:suppressAutoHyphens w:val="true"/>
              <w:ind w:start="-18" w:end="0"/>
              <w:jc w:val="both"/>
              <w:rPr>
                <w:sz w:val="22"/>
              </w:rPr>
            </w:pPr>
            <w:r>
              <w:rPr>
                <w:sz w:val="22"/>
              </w:rPr>
              <w:t>[Enron or an affiliate will be entitled to receive from Portfolio Businesses a structuring or arranging fee as compensation for its efforts in analyzing, structuring and successfully completing each Qualified Investment.  Services include, but are not limited to, investment selection, negotiation of acquisition terms, valuation, due diligence, structuring for tax purposes, and other duties in connection with investment activities.  Each such structuring or arranging fee will be at market rates.  Enron and its affiliates will be entitled to receive any other fees (at market rates) customarily paid to financial advisors or investment bankers and brokers.  Net Works will be entitled to receive fees that customarily would be paid to the source of capital in a transaction as compensation for reservation of capital (such as loan commitment fees).  The Partnership Agreement will provide a mechanism for the review of the amount of any such fees or another appropriate mechanism to assure Net Works receives appropriate fees.]</w:t>
            </w:r>
          </w:p>
        </w:tc>
      </w:tr>
      <w:tr>
        <w:trPr/>
        <w:tc>
          <w:tcPr>
            <w:tcW w:w="3618" w:type="dxa"/>
            <w:tcBorders/>
          </w:tcPr>
          <w:p>
            <w:pPr>
              <w:pStyle w:val="Normal"/>
              <w:spacing w:before="120" w:after="0"/>
              <w:rPr>
                <w:b/>
                <w:sz w:val="22"/>
              </w:rPr>
            </w:pPr>
            <w:r>
              <w:rPr>
                <w:b/>
                <w:sz w:val="22"/>
              </w:rPr>
              <w:t>Net Works Expenses:</w:t>
            </w:r>
          </w:p>
        </w:tc>
        <w:tc>
          <w:tcPr>
            <w:tcW w:w="5940" w:type="dxa"/>
            <w:tcBorders/>
          </w:tcPr>
          <w:p>
            <w:pPr>
              <w:pStyle w:val="Normal"/>
              <w:spacing w:before="120" w:after="0"/>
              <w:jc w:val="both"/>
              <w:rPr>
                <w:sz w:val="22"/>
              </w:rPr>
            </w:pPr>
            <w:r>
              <w:rPr>
                <w:sz w:val="22"/>
              </w:rPr>
              <w:t xml:space="preserve">Net Works will pay all reasonable out-of-pocket costs and expenses of Net Works and third parties relating to Net Works' activities.  [Enron will be reimbursed by Net Works for Enron's expenses related to establishment of Net Works.] </w:t>
            </w:r>
          </w:p>
        </w:tc>
      </w:tr>
      <w:tr>
        <w:trPr/>
        <w:tc>
          <w:tcPr>
            <w:tcW w:w="3618" w:type="dxa"/>
            <w:tcBorders/>
          </w:tcPr>
          <w:p>
            <w:pPr>
              <w:pStyle w:val="Normal"/>
              <w:numPr>
                <w:ilvl w:val="0"/>
                <w:numId w:val="0"/>
              </w:numPr>
              <w:spacing w:before="120" w:after="60"/>
              <w:outlineLvl w:val="0"/>
              <w:rPr>
                <w:b/>
                <w:sz w:val="22"/>
              </w:rPr>
            </w:pPr>
            <w:r>
              <w:rPr>
                <w:b/>
                <w:sz w:val="22"/>
              </w:rPr>
              <w:t>Tax and ERISA Considerations:</w:t>
            </w:r>
          </w:p>
        </w:tc>
        <w:tc>
          <w:tcPr>
            <w:tcW w:w="5940" w:type="dxa"/>
            <w:tcBorders/>
          </w:tcPr>
          <w:p>
            <w:pPr>
              <w:pStyle w:val="JustifiedBody"/>
              <w:spacing w:before="120" w:after="0"/>
              <w:rPr/>
            </w:pPr>
            <w:r>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numPr>
                <w:ilvl w:val="0"/>
                <w:numId w:val="0"/>
              </w:numPr>
              <w:spacing w:before="120" w:after="120"/>
              <w:outlineLvl w:val="0"/>
              <w:rPr/>
            </w:pPr>
            <w:r>
              <w:rPr/>
              <w:t>Investors subject to ERISA ,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618" w:type="dxa"/>
            <w:tcBorders/>
          </w:tcPr>
          <w:p>
            <w:pPr>
              <w:pStyle w:val="Normal"/>
              <w:numPr>
                <w:ilvl w:val="0"/>
                <w:numId w:val="0"/>
              </w:numPr>
              <w:spacing w:before="120" w:after="60"/>
              <w:outlineLvl w:val="0"/>
              <w:rPr>
                <w:b/>
                <w:sz w:val="22"/>
              </w:rPr>
            </w:pPr>
            <w:r>
              <w:rPr>
                <w:b/>
                <w:sz w:val="22"/>
              </w:rPr>
              <w:t>Indemnification:</w:t>
            </w:r>
          </w:p>
        </w:tc>
        <w:tc>
          <w:tcPr>
            <w:tcW w:w="594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618" w:type="dxa"/>
            <w:tcBorders/>
          </w:tcPr>
          <w:p>
            <w:pPr>
              <w:pStyle w:val="Normal"/>
              <w:numPr>
                <w:ilvl w:val="0"/>
                <w:numId w:val="0"/>
              </w:numPr>
              <w:spacing w:before="120" w:after="60"/>
              <w:outlineLvl w:val="0"/>
              <w:rPr>
                <w:b/>
                <w:sz w:val="22"/>
              </w:rPr>
            </w:pPr>
            <w:r>
              <w:rPr>
                <w:b/>
                <w:sz w:val="22"/>
              </w:rPr>
              <w:t>Legal Counsel:</w:t>
            </w:r>
          </w:p>
        </w:tc>
        <w:tc>
          <w:tcPr>
            <w:tcW w:w="5940" w:type="dxa"/>
            <w:tcBorders/>
          </w:tcPr>
          <w:p>
            <w:pPr>
              <w:pStyle w:val="Normal"/>
              <w:numPr>
                <w:ilvl w:val="0"/>
                <w:numId w:val="0"/>
              </w:numPr>
              <w:spacing w:before="0" w:after="60"/>
              <w:outlineLvl w:val="0"/>
              <w:rPr>
                <w:sz w:val="22"/>
              </w:rPr>
            </w:pPr>
            <w:r>
              <w:rPr>
                <w:sz w:val="22"/>
              </w:rPr>
              <w:t>Vinson &amp; Elkins L.L.P.</w:t>
            </w:r>
          </w:p>
        </w:tc>
      </w:tr>
      <w:tr>
        <w:trPr/>
        <w:tc>
          <w:tcPr>
            <w:tcW w:w="3618" w:type="dxa"/>
            <w:tcBorders/>
          </w:tcPr>
          <w:p>
            <w:pPr>
              <w:pStyle w:val="Normal"/>
              <w:numPr>
                <w:ilvl w:val="0"/>
                <w:numId w:val="0"/>
              </w:numPr>
              <w:spacing w:before="120" w:after="60"/>
              <w:outlineLvl w:val="0"/>
              <w:rPr>
                <w:b/>
                <w:sz w:val="22"/>
              </w:rPr>
            </w:pPr>
            <w:r>
              <w:rPr>
                <w:b/>
                <w:sz w:val="22"/>
              </w:rPr>
              <w:t>Independent Auditor:</w:t>
            </w:r>
          </w:p>
        </w:tc>
        <w:tc>
          <w:tcPr>
            <w:tcW w:w="5940" w:type="dxa"/>
            <w:tcBorders/>
          </w:tcPr>
          <w:p>
            <w:pPr>
              <w:pStyle w:val="Normal"/>
              <w:numPr>
                <w:ilvl w:val="0"/>
                <w:numId w:val="0"/>
              </w:numPr>
              <w:spacing w:before="0" w:after="60"/>
              <w:outlineLvl w:val="0"/>
              <w:rPr>
                <w:sz w:val="22"/>
              </w:rPr>
            </w:pPr>
            <w:r>
              <w:rPr>
                <w:sz w:val="22"/>
              </w:rPr>
              <w:t>Arthur Andersen L.L.P.</w:t>
            </w:r>
          </w:p>
        </w:tc>
      </w:tr>
    </w:tbl>
    <w:p>
      <w:pPr>
        <w:sectPr>
          <w:type w:val="continuous"/>
          <w:pgSz w:w="12240" w:h="15840"/>
          <w:pgMar w:left="1440" w:right="1440" w:gutter="0" w:header="432" w:top="1354" w:footer="720" w:bottom="1440"/>
          <w:formProt w:val="false"/>
          <w:textDirection w:val="lrTb"/>
          <w:docGrid w:type="default" w:linePitch="360" w:charSpace="0"/>
        </w:sectPr>
      </w:pPr>
    </w:p>
    <w:p>
      <w:pPr>
        <w:pStyle w:val="Heading4"/>
        <w:spacing w:lineRule="auto" w:line="240" w:before="60" w:after="60"/>
        <w:ind w:hanging="0" w:start="0"/>
        <w:rPr>
          <w:smallCaps/>
        </w:rPr>
      </w:pPr>
      <w:bookmarkStart w:id="12" w:name="_Ref489097802"/>
      <w:r>
        <w:rPr>
          <w:smallCaps/>
        </w:rPr>
        <w:t>Enron’s Financial Performance</w:t>
      </w:r>
      <w:bookmarkEnd w:id="12"/>
    </w:p>
    <w:p>
      <w:pPr>
        <w:pStyle w:val="JustifiedBody"/>
        <w:rPr/>
      </w:pPr>
      <w:r>
        <w:rPr>
          <w:highlight w:val="yellow"/>
        </w:rPr>
        <w:t xml:space="preserve">By identifying market opportunities early, and responding quickly, Enron has grown revenues, net income and assets significantly over the past decade.  Revenues have grown at a compounded annual rate of [15.0%] from 1989 to the twelve month period ending </w:t>
      </w:r>
      <w:r>
        <w:rPr/>
        <w:t>March 31, 2000, net income and total assets have grown [15.6%] and [12.5%], respectively.</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vAlign w:val="center"/>
          </w:tcPr>
          <w:p>
            <w:pPr>
              <w:pStyle w:val="JustifiedBody"/>
              <w:spacing w:before="60" w:after="60"/>
              <w:ind w:start="360" w:end="0"/>
              <w:jc w:val="center"/>
              <w:rPr>
                <w:smallCaps/>
                <w:color w:val="FFFFFF"/>
                <w:highlight w:val="yellow"/>
              </w:rPr>
            </w:pPr>
            <w:r>
              <w:rPr>
                <w:b/>
                <w:smallCaps/>
                <w:color w:val="FFFFFF"/>
                <w:highlight w:val="yellow"/>
              </w:rPr>
              <w:t>Operating</w:t>
            </w:r>
            <w:r>
              <w:rPr>
                <w:smallCaps/>
                <w:color w:val="FFFFFF"/>
                <w:highlight w:val="yellow"/>
              </w:rPr>
              <w:t xml:space="preserve"> </w:t>
            </w:r>
            <w:r>
              <w:rPr>
                <w:b/>
                <w:smallCaps/>
                <w:color w:val="FFFFFF"/>
                <w:highlight w:val="yellow"/>
              </w:rPr>
              <w:t>Performance</w:t>
            </w:r>
          </w:p>
        </w:tc>
      </w:tr>
      <w:tr>
        <w:trPr/>
        <w:tc>
          <w:tcPr>
            <w:tcW w:w="3084" w:type="dxa"/>
            <w:tcBorders>
              <w:top w:val="single" w:sz="4" w:space="0" w:color="000000"/>
              <w:start w:val="single" w:sz="4" w:space="0" w:color="000000"/>
            </w:tcBorders>
          </w:tcPr>
          <w:p>
            <w:pPr>
              <w:pStyle w:val="Normal"/>
              <w:numPr>
                <w:ilvl w:val="0"/>
                <w:numId w:val="0"/>
              </w:numPr>
              <w:spacing w:before="120" w:after="0"/>
              <w:jc w:val="center"/>
              <w:outlineLvl w:val="0"/>
              <w:rPr>
                <w:b/>
                <w:sz w:val="22"/>
                <w:highlight w:val="yellow"/>
              </w:rPr>
            </w:pPr>
            <w:r>
              <w:rPr>
                <w:b/>
                <w:sz w:val="22"/>
                <w:highlight w:val="yellow"/>
              </w:rPr>
              <w:t xml:space="preserve">Total Assets </w:t>
            </w:r>
          </w:p>
          <w:p>
            <w:pPr>
              <w:pStyle w:val="Normal"/>
              <w:numPr>
                <w:ilvl w:val="0"/>
                <w:numId w:val="0"/>
              </w:numPr>
              <w:pBdr>
                <w:bottom w:val="single" w:sz="4" w:space="1" w:color="000000"/>
              </w:pBdr>
              <w:jc w:val="center"/>
              <w:outlineLvl w:val="0"/>
              <w:rPr>
                <w:sz w:val="18"/>
                <w:highlight w:val="yellow"/>
              </w:rPr>
            </w:pPr>
            <w:r>
              <w:rPr>
                <w:sz w:val="18"/>
                <w:highlight w:val="yellow"/>
              </w:rPr>
              <w:t>(in billions)</w:t>
            </w:r>
          </w:p>
        </w:tc>
        <w:tc>
          <w:tcPr>
            <w:tcW w:w="3192" w:type="dxa"/>
            <w:tcBorders>
              <w:top w:val="single" w:sz="4" w:space="0" w:color="000000"/>
            </w:tcBorders>
          </w:tcPr>
          <w:p>
            <w:pPr>
              <w:pStyle w:val="Normal"/>
              <w:numPr>
                <w:ilvl w:val="0"/>
                <w:numId w:val="0"/>
              </w:numPr>
              <w:pBdr>
                <w:bottom w:val="single" w:sz="4" w:space="1" w:color="000000"/>
              </w:pBdr>
              <w:spacing w:before="120" w:after="0"/>
              <w:jc w:val="center"/>
              <w:outlineLvl w:val="0"/>
              <w:rPr>
                <w:b/>
                <w:sz w:val="22"/>
                <w:highlight w:val="yellow"/>
              </w:rPr>
            </w:pPr>
            <w:r>
              <w:rPr>
                <w:b/>
                <w:sz w:val="22"/>
                <w:highlight w:val="yellow"/>
              </w:rPr>
              <w:t xml:space="preserve">Annual Revenues </w:t>
            </w:r>
          </w:p>
          <w:p>
            <w:pPr>
              <w:pStyle w:val="Normal"/>
              <w:numPr>
                <w:ilvl w:val="0"/>
                <w:numId w:val="0"/>
              </w:numPr>
              <w:pBdr>
                <w:bottom w:val="single" w:sz="4" w:space="1" w:color="000000"/>
              </w:pBdr>
              <w:jc w:val="center"/>
              <w:outlineLvl w:val="0"/>
              <w:rPr>
                <w:sz w:val="18"/>
                <w:highlight w:val="yellow"/>
              </w:rPr>
            </w:pPr>
            <w:r>
              <w:rPr>
                <w:sz w:val="18"/>
                <w:highlight w:val="yellow"/>
              </w:rPr>
              <w:t>(in billions)</w:t>
            </w:r>
          </w:p>
        </w:tc>
        <w:tc>
          <w:tcPr>
            <w:tcW w:w="3084" w:type="dxa"/>
            <w:tcBorders>
              <w:top w:val="single" w:sz="4" w:space="0" w:color="000000"/>
              <w:end w:val="single" w:sz="4" w:space="0" w:color="000000"/>
            </w:tcBorders>
          </w:tcPr>
          <w:p>
            <w:pPr>
              <w:pStyle w:val="Normal"/>
              <w:numPr>
                <w:ilvl w:val="0"/>
                <w:numId w:val="0"/>
              </w:numPr>
              <w:pBdr>
                <w:bottom w:val="single" w:sz="4" w:space="1" w:color="000000"/>
              </w:pBdr>
              <w:spacing w:before="120" w:after="0"/>
              <w:jc w:val="center"/>
              <w:outlineLvl w:val="0"/>
              <w:rPr>
                <w:b/>
                <w:sz w:val="22"/>
                <w:highlight w:val="yellow"/>
              </w:rPr>
            </w:pPr>
            <w:r>
              <w:rPr>
                <w:b/>
                <w:sz w:val="22"/>
                <w:highlight w:val="yellow"/>
              </w:rPr>
              <w:t>Net Income</w:t>
            </w:r>
          </w:p>
          <w:p>
            <w:pPr>
              <w:pStyle w:val="Normal"/>
              <w:numPr>
                <w:ilvl w:val="0"/>
                <w:numId w:val="0"/>
              </w:numPr>
              <w:pBdr>
                <w:bottom w:val="single" w:sz="4" w:space="1" w:color="000000"/>
              </w:pBdr>
              <w:jc w:val="center"/>
              <w:outlineLvl w:val="0"/>
              <w:rPr>
                <w:sz w:val="18"/>
                <w:highlight w:val="yellow"/>
              </w:rPr>
            </w:pPr>
            <w:r>
              <w:rPr>
                <w:sz w:val="18"/>
                <w:highlight w:val="yellow"/>
              </w:rPr>
              <w:t xml:space="preserve"> </w:t>
            </w:r>
            <w:r>
              <w:rPr>
                <w:sz w:val="18"/>
                <w:highlight w:val="yellow"/>
              </w:rPr>
              <w:t>(recurring, billions)</w:t>
            </w:r>
          </w:p>
        </w:tc>
      </w:tr>
      <w:tr>
        <w:trPr>
          <w:trHeight w:val="2475" w:hRule="exact"/>
        </w:trPr>
        <w:tc>
          <w:tcPr>
            <w:tcW w:w="3084" w:type="dxa"/>
            <w:tcBorders>
              <w:start w:val="single" w:sz="4" w:space="0" w:color="000000"/>
              <w:bottom w:val="single" w:sz="4" w:space="0" w:color="000000"/>
            </w:tcBorders>
          </w:tcPr>
          <w:p>
            <w:pPr>
              <w:pStyle w:val="Normal"/>
              <w:numPr>
                <w:ilvl w:val="0"/>
                <w:numId w:val="0"/>
              </w:numPr>
              <w:spacing w:before="120" w:after="0"/>
              <w:ind w:start="-18" w:end="0"/>
              <w:jc w:val="both"/>
              <w:outlineLvl w:val="0"/>
              <w:rPr>
                <w:sz w:val="22"/>
                <w:highlight w:val="yellow"/>
              </w:rPr>
            </w:pPr>
            <w:r>
              <w:rPr>
                <w:sz w:val="22"/>
                <w:highlight w:val="yellow"/>
              </w:rPr>
              <w:drawing>
                <wp:inline distT="0" distB="0" distL="0" distR="0">
                  <wp:extent cx="1819910" cy="1350645"/>
                  <wp:effectExtent l="0" t="0" r="0" b="0"/>
                  <wp:docPr id="41"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2" descr="" title=""/>
                          <pic:cNvPicPr>
                            <a:picLocks noChangeAspect="1" noChangeArrowheads="1"/>
                          </pic:cNvPicPr>
                        </pic:nvPicPr>
                        <pic:blipFill>
                          <a:blip r:embed="rId70"/>
                          <a:srcRect l="-18" t="-24" r="-18" b="-24"/>
                          <a:stretch>
                            <a:fillRect/>
                          </a:stretch>
                        </pic:blipFill>
                        <pic:spPr bwMode="auto">
                          <a:xfrm>
                            <a:off x="0" y="0"/>
                            <a:ext cx="1819910" cy="1350645"/>
                          </a:xfrm>
                          <a:prstGeom prst="rect">
                            <a:avLst/>
                          </a:prstGeom>
                          <a:noFill/>
                        </pic:spPr>
                      </pic:pic>
                    </a:graphicData>
                  </a:graphic>
                </wp:inline>
              </w:drawing>
            </w:r>
          </w:p>
        </w:tc>
        <w:tc>
          <w:tcPr>
            <w:tcW w:w="3192" w:type="dxa"/>
            <w:tcBorders>
              <w:bottom w:val="single" w:sz="4" w:space="0" w:color="000000"/>
            </w:tcBorders>
          </w:tcPr>
          <w:p>
            <w:pPr>
              <w:pStyle w:val="Normal"/>
              <w:numPr>
                <w:ilvl w:val="0"/>
                <w:numId w:val="0"/>
              </w:numPr>
              <w:spacing w:before="60" w:after="0"/>
              <w:jc w:val="center"/>
              <w:outlineLvl w:val="0"/>
              <w:rPr>
                <w:sz w:val="22"/>
                <w:highlight w:val="yellow"/>
              </w:rPr>
            </w:pPr>
            <w:r>
              <w:rPr>
                <w:sz w:val="22"/>
                <w:highlight w:val="yellow"/>
              </w:rPr>
              <w:drawing>
                <wp:inline distT="0" distB="0" distL="0" distR="0">
                  <wp:extent cx="1864995" cy="1510665"/>
                  <wp:effectExtent l="0" t="0" r="0" b="0"/>
                  <wp:docPr id="42"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 descr="" title=""/>
                          <pic:cNvPicPr>
                            <a:picLocks noChangeAspect="1" noChangeArrowheads="1"/>
                          </pic:cNvPicPr>
                        </pic:nvPicPr>
                        <pic:blipFill>
                          <a:blip r:embed="rId71"/>
                          <a:srcRect l="-17" t="-22" r="-17" b="-22"/>
                          <a:stretch>
                            <a:fillRect/>
                          </a:stretch>
                        </pic:blipFill>
                        <pic:spPr bwMode="auto">
                          <a:xfrm>
                            <a:off x="0" y="0"/>
                            <a:ext cx="1864995" cy="1510665"/>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JustifiedBody"/>
              <w:numPr>
                <w:ilvl w:val="0"/>
                <w:numId w:val="0"/>
              </w:numPr>
              <w:spacing w:before="120" w:after="120"/>
              <w:jc w:val="start"/>
              <w:outlineLvl w:val="0"/>
              <w:rPr>
                <w:highlight w:val="yellow"/>
              </w:rPr>
            </w:pPr>
            <w:r>
              <w:rPr>
                <w:highlight w:val="yellow"/>
              </w:rPr>
              <w:drawing>
                <wp:inline distT="0" distB="0" distL="0" distR="0">
                  <wp:extent cx="1819275" cy="1469390"/>
                  <wp:effectExtent l="0" t="0" r="0" b="0"/>
                  <wp:docPr id="43"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 descr="" title=""/>
                          <pic:cNvPicPr>
                            <a:picLocks noChangeAspect="1" noChangeArrowheads="1"/>
                          </pic:cNvPicPr>
                        </pic:nvPicPr>
                        <pic:blipFill>
                          <a:blip r:embed="rId72"/>
                          <a:srcRect l="-17" t="-22" r="-17" b="-22"/>
                          <a:stretch>
                            <a:fillRect/>
                          </a:stretch>
                        </pic:blipFill>
                        <pic:spPr bwMode="auto">
                          <a:xfrm>
                            <a:off x="0" y="0"/>
                            <a:ext cx="1819275" cy="1469390"/>
                          </a:xfrm>
                          <a:prstGeom prst="rect">
                            <a:avLst/>
                          </a:prstGeom>
                          <a:noFill/>
                        </pic:spPr>
                      </pic:pic>
                    </a:graphicData>
                  </a:graphic>
                </wp:inline>
              </w:drawing>
            </w:r>
          </w:p>
        </w:tc>
      </w:tr>
    </w:tbl>
    <w:p>
      <w:pPr>
        <w:pStyle w:val="JustifiedBody"/>
        <w:spacing w:before="120" w:after="120"/>
        <w:rPr>
          <w:b/>
        </w:rPr>
      </w:pPr>
      <w:r>
        <w:rPr>
          <w:b/>
        </w:rPr>
        <w:t>Paralleling Enron’s operational growth is the Company’s equity market capitalization, which has grown 17.5 fold since 1989 and delivered average annual returns to investors of approximately 26.3%.  Enron believes that its financial success, together with its effort to benefit from present and future global energy deregulation, and its entry into the U.S. broadband market, has been responsible for increasing the price earnings multiple at which Enron common stock trades, approximately 51.2 times consensus 2000 EPS estimates as of June 30, 2000.</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smallCaps/>
                <w:color w:val="FFFFFF"/>
              </w:rPr>
            </w:pPr>
            <w:r>
              <w:rPr>
                <w:b/>
                <w:smallCaps/>
                <w:color w:val="FFFFFF"/>
              </w:rPr>
              <w:t>Stock</w:t>
            </w:r>
            <w:r>
              <w:rPr>
                <w:smallCaps/>
                <w:color w:val="FFFFFF"/>
              </w:rPr>
              <w:t xml:space="preserve"> </w:t>
            </w:r>
            <w:r>
              <w:rPr>
                <w:b/>
                <w:smallCaps/>
                <w:color w:val="FFFFFF"/>
              </w:rPr>
              <w:t>Market</w:t>
            </w:r>
            <w:r>
              <w:rPr>
                <w:smallCaps/>
                <w:color w:val="FFFFFF"/>
              </w:rPr>
              <w:t xml:space="preserve"> </w:t>
            </w:r>
            <w:r>
              <w:rPr>
                <w:b/>
                <w:smallCaps/>
                <w:color w:val="FFFFFF"/>
              </w:rPr>
              <w:t>Performance</w:t>
            </w:r>
          </w:p>
        </w:tc>
      </w:tr>
      <w:tr>
        <w:trPr>
          <w:trHeight w:val="440" w:hRule="atLeast"/>
        </w:trPr>
        <w:tc>
          <w:tcPr>
            <w:tcW w:w="3084" w:type="dxa"/>
            <w:tcBorders>
              <w:top w:val="single" w:sz="4" w:space="0" w:color="000000"/>
              <w:start w:val="single" w:sz="4" w:space="0" w:color="000000"/>
            </w:tcBorders>
            <w:vAlign w:val="bottom"/>
          </w:tcPr>
          <w:p>
            <w:pPr>
              <w:pStyle w:val="Normal"/>
              <w:numPr>
                <w:ilvl w:val="0"/>
                <w:numId w:val="0"/>
              </w:numPr>
              <w:pBdr>
                <w:bottom w:val="single" w:sz="4" w:space="0" w:color="000000"/>
              </w:pBdr>
              <w:spacing w:before="120" w:after="0"/>
              <w:jc w:val="center"/>
              <w:outlineLvl w:val="0"/>
              <w:rPr>
                <w:b/>
                <w:sz w:val="22"/>
              </w:rPr>
            </w:pPr>
            <w:r>
              <w:rPr>
                <w:b/>
                <w:sz w:val="22"/>
              </w:rPr>
              <w:t>Price/Earnings Ratio</w:t>
            </w:r>
          </w:p>
        </w:tc>
        <w:tc>
          <w:tcPr>
            <w:tcW w:w="3192" w:type="dxa"/>
            <w:tcBorders>
              <w:top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Market Capitalization</w:t>
            </w:r>
          </w:p>
          <w:p>
            <w:pPr>
              <w:pStyle w:val="Normal"/>
              <w:numPr>
                <w:ilvl w:val="0"/>
                <w:numId w:val="0"/>
              </w:numPr>
              <w:pBdr>
                <w:bottom w:val="single" w:sz="4" w:space="1" w:color="000000"/>
              </w:pBdr>
              <w:jc w:val="center"/>
              <w:outlineLvl w:val="0"/>
              <w:rPr>
                <w:sz w:val="18"/>
              </w:rPr>
            </w:pPr>
            <w:r>
              <w:rPr>
                <w:sz w:val="18"/>
              </w:rPr>
              <w:t>(in billions)</w:t>
            </w:r>
          </w:p>
        </w:tc>
        <w:tc>
          <w:tcPr>
            <w:tcW w:w="3084" w:type="dxa"/>
            <w:tcBorders>
              <w:top w:val="single" w:sz="4" w:space="0" w:color="000000"/>
              <w:end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 xml:space="preserve">Annualized Return </w:t>
            </w:r>
            <w:r>
              <w:rPr>
                <w:b/>
                <w:sz w:val="22"/>
                <w:vertAlign w:val="superscript"/>
              </w:rPr>
              <w:t>(a)</w:t>
            </w:r>
          </w:p>
          <w:p>
            <w:pPr>
              <w:pStyle w:val="Normal"/>
              <w:numPr>
                <w:ilvl w:val="0"/>
                <w:numId w:val="0"/>
              </w:numPr>
              <w:pBdr>
                <w:bottom w:val="single" w:sz="4" w:space="1" w:color="000000"/>
              </w:pBdr>
              <w:jc w:val="center"/>
              <w:outlineLvl w:val="0"/>
              <w:rPr>
                <w:b/>
              </w:rPr>
            </w:pPr>
            <w:r>
              <w:rPr>
                <w:sz w:val="18"/>
              </w:rPr>
              <w:t>(January 1, 1990 to June 30, 2000)</w:t>
            </w:r>
          </w:p>
        </w:tc>
      </w:tr>
      <w:tr>
        <w:trPr>
          <w:trHeight w:val="2097" w:hRule="atLeast"/>
        </w:trPr>
        <w:tc>
          <w:tcPr>
            <w:tcW w:w="3084" w:type="dxa"/>
            <w:tcBorders>
              <w:start w:val="single" w:sz="4" w:space="0" w:color="000000"/>
            </w:tcBorders>
          </w:tcPr>
          <w:p>
            <w:pPr>
              <w:pStyle w:val="JustifiedBody"/>
              <w:numPr>
                <w:ilvl w:val="0"/>
                <w:numId w:val="0"/>
              </w:numPr>
              <w:spacing w:before="120" w:after="0"/>
              <w:outlineLvl w:val="0"/>
              <w:rPr/>
            </w:pPr>
            <w:r>
              <w:rPr/>
              <w:drawing>
                <wp:inline distT="0" distB="0" distL="0" distR="0">
                  <wp:extent cx="1819910" cy="1377950"/>
                  <wp:effectExtent l="0" t="0" r="0" b="0"/>
                  <wp:docPr id="44"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 descr="" title=""/>
                          <pic:cNvPicPr>
                            <a:picLocks noChangeAspect="1" noChangeArrowheads="1"/>
                          </pic:cNvPicPr>
                        </pic:nvPicPr>
                        <pic:blipFill>
                          <a:blip r:embed="rId73"/>
                          <a:srcRect l="-18" t="-24" r="-18" b="-24"/>
                          <a:stretch>
                            <a:fillRect/>
                          </a:stretch>
                        </pic:blipFill>
                        <pic:spPr bwMode="auto">
                          <a:xfrm>
                            <a:off x="0" y="0"/>
                            <a:ext cx="1819910" cy="1377950"/>
                          </a:xfrm>
                          <a:prstGeom prst="rect">
                            <a:avLst/>
                          </a:prstGeom>
                          <a:noFill/>
                        </pic:spPr>
                      </pic:pic>
                    </a:graphicData>
                  </a:graphic>
                </wp:inline>
              </w:drawing>
            </w:r>
          </w:p>
        </w:tc>
        <w:tc>
          <w:tcPr>
            <w:tcW w:w="3192" w:type="dxa"/>
            <w:tcBorders/>
          </w:tcPr>
          <w:p>
            <w:pPr>
              <w:pStyle w:val="JustifiedBody"/>
              <w:numPr>
                <w:ilvl w:val="0"/>
                <w:numId w:val="0"/>
              </w:numPr>
              <w:spacing w:before="60" w:after="0"/>
              <w:outlineLvl w:val="0"/>
              <w:rPr/>
            </w:pPr>
            <w:r>
              <w:rPr/>
              <w:drawing>
                <wp:inline distT="0" distB="0" distL="0" distR="0">
                  <wp:extent cx="1887855" cy="1432560"/>
                  <wp:effectExtent l="0" t="0" r="0" b="0"/>
                  <wp:docPr id="45"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 descr="" title=""/>
                          <pic:cNvPicPr>
                            <a:picLocks noChangeAspect="1" noChangeArrowheads="1"/>
                          </pic:cNvPicPr>
                        </pic:nvPicPr>
                        <pic:blipFill>
                          <a:blip r:embed="rId74"/>
                          <a:srcRect l="-18" t="-24" r="-18" b="-24"/>
                          <a:stretch>
                            <a:fillRect/>
                          </a:stretch>
                        </pic:blipFill>
                        <pic:spPr bwMode="auto">
                          <a:xfrm>
                            <a:off x="0" y="0"/>
                            <a:ext cx="1887855" cy="1432560"/>
                          </a:xfrm>
                          <a:prstGeom prst="rect">
                            <a:avLst/>
                          </a:prstGeom>
                          <a:noFill/>
                        </pic:spPr>
                      </pic:pic>
                    </a:graphicData>
                  </a:graphic>
                </wp:inline>
              </w:drawing>
            </w:r>
          </w:p>
        </w:tc>
        <w:tc>
          <w:tcPr>
            <w:tcW w:w="3084" w:type="dxa"/>
            <w:tcBorders>
              <w:end w:val="single" w:sz="4" w:space="0" w:color="000000"/>
            </w:tcBorders>
          </w:tcPr>
          <w:p>
            <w:pPr>
              <w:pStyle w:val="JustifiedBody"/>
              <w:numPr>
                <w:ilvl w:val="0"/>
                <w:numId w:val="0"/>
              </w:numPr>
              <w:spacing w:before="120" w:after="0"/>
              <w:outlineLvl w:val="0"/>
              <w:rPr/>
            </w:pPr>
            <w:r>
              <w:rPr/>
              <w:drawing>
                <wp:inline distT="0" distB="0" distL="0" distR="0">
                  <wp:extent cx="1819910" cy="1388745"/>
                  <wp:effectExtent l="0" t="0" r="0" b="0"/>
                  <wp:docPr id="46"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 descr="" title=""/>
                          <pic:cNvPicPr>
                            <a:picLocks noChangeAspect="1" noChangeArrowheads="1"/>
                          </pic:cNvPicPr>
                        </pic:nvPicPr>
                        <pic:blipFill>
                          <a:blip r:embed="rId75"/>
                          <a:srcRect l="-18" t="-23" r="-18" b="-23"/>
                          <a:stretch>
                            <a:fillRect/>
                          </a:stretch>
                        </pic:blipFill>
                        <pic:spPr bwMode="auto">
                          <a:xfrm>
                            <a:off x="0" y="0"/>
                            <a:ext cx="1819910" cy="1388745"/>
                          </a:xfrm>
                          <a:prstGeom prst="rect">
                            <a:avLst/>
                          </a:prstGeom>
                          <a:noFill/>
                        </pic:spPr>
                      </pic:pic>
                    </a:graphicData>
                  </a:graphic>
                </wp:inline>
              </w:drawing>
            </w:r>
          </w:p>
        </w:tc>
      </w:tr>
      <w:tr>
        <w:trPr>
          <w:trHeight w:val="180" w:hRule="atLeast"/>
        </w:trPr>
        <w:tc>
          <w:tcPr>
            <w:tcW w:w="9360" w:type="dxa"/>
            <w:gridSpan w:val="3"/>
            <w:tcBorders>
              <w:start w:val="single" w:sz="4" w:space="0" w:color="000000"/>
              <w:bottom w:val="single" w:sz="4" w:space="0" w:color="000000"/>
              <w:end w:val="single" w:sz="4" w:space="0" w:color="000000"/>
            </w:tcBorders>
          </w:tcPr>
          <w:p>
            <w:pPr>
              <w:pStyle w:val="JustifiedBody"/>
              <w:numPr>
                <w:ilvl w:val="0"/>
                <w:numId w:val="0"/>
              </w:numPr>
              <w:spacing w:before="0" w:after="0"/>
              <w:ind w:end="1692"/>
              <w:outlineLvl w:val="0"/>
              <w:rPr>
                <w:b/>
                <w:i/>
                <w:i/>
                <w:sz w:val="16"/>
              </w:rPr>
            </w:pPr>
            <w:r>
              <w:rPr>
                <w:b/>
                <w:i/>
                <w:sz w:val="16"/>
              </w:rPr>
              <w:t>______________________________________________________________________________________</w:t>
            </w:r>
          </w:p>
          <w:p>
            <w:pPr>
              <w:pStyle w:val="JustifiedBody"/>
              <w:numPr>
                <w:ilvl w:val="0"/>
                <w:numId w:val="0"/>
              </w:numPr>
              <w:tabs>
                <w:tab w:val="clear" w:pos="720"/>
                <w:tab w:val="left" w:pos="252" w:leader="none"/>
              </w:tabs>
              <w:spacing w:before="120" w:after="0"/>
              <w:ind w:hanging="259" w:start="259" w:end="1699"/>
              <w:outlineLvl w:val="0"/>
              <w:rPr>
                <w:b/>
                <w:i/>
                <w:i/>
                <w:sz w:val="16"/>
              </w:rPr>
            </w:pPr>
            <w:r>
              <w:rPr>
                <w:b/>
                <w:i/>
                <w:sz w:val="16"/>
              </w:rPr>
              <w:t>(a) Compounded annual growth rate assuming dividends re-invested at time of payment.</w:t>
              <w:tab/>
            </w:r>
          </w:p>
          <w:p>
            <w:pPr>
              <w:pStyle w:val="JustifiedBody"/>
              <w:numPr>
                <w:ilvl w:val="0"/>
                <w:numId w:val="0"/>
              </w:numPr>
              <w:tabs>
                <w:tab w:val="clear" w:pos="720"/>
                <w:tab w:val="left" w:pos="252" w:leader="none"/>
              </w:tabs>
              <w:spacing w:before="0" w:after="0"/>
              <w:ind w:hanging="259" w:start="259" w:end="1152"/>
              <w:outlineLvl w:val="0"/>
              <w:rPr>
                <w:sz w:val="16"/>
              </w:rPr>
            </w:pPr>
            <w:r>
              <w:rPr>
                <w:b/>
                <w:i/>
                <w:sz w:val="16"/>
              </w:rPr>
              <w:t>(b) Peer Group includes: The AES Corp.., BG Group Plc, Columbia Energy Group, Duke Energy Corp., Dynegy Inc., PG&amp;E Corp. and Williams Communications.</w:t>
            </w:r>
          </w:p>
        </w:tc>
      </w:tr>
    </w:tbl>
    <w:p>
      <w:pPr>
        <w:pStyle w:val="JustifiedBody"/>
        <w:spacing w:before="120" w:after="60"/>
        <w:rPr>
          <w:b/>
          <w:smallCaps/>
          <w:sz w:val="24"/>
        </w:rPr>
      </w:pPr>
      <w:r>
        <w:rPr/>
        <w:t>As</w:t>
      </w:r>
      <w:r>
        <w:rPr>
          <w:b/>
          <w:smallCaps/>
          <w:sz w:val="24"/>
        </w:rPr>
        <w:t xml:space="preserve"> </w:t>
      </w:r>
      <w:r>
        <w:rPr/>
        <w:t>highlighted in Section III of this Memorandum, Enron’s operations are organized into five divisions.  While the Net Works business plan is discussed throughout this Memorandum, the following pages in this section have been extracted from Enron’s annual report as discussion of Enron’s other four businesses.</w:t>
      </w:r>
    </w:p>
    <w:p>
      <w:pPr>
        <w:sectPr>
          <w:type w:val="continuous"/>
          <w:pgSz w:w="12240" w:h="15840"/>
          <w:pgMar w:left="1440" w:right="1440" w:gutter="0" w:header="432" w:top="1354" w:footer="720" w:bottom="1440"/>
          <w:formProt w:val="false"/>
          <w:textDirection w:val="lrTb"/>
          <w:docGrid w:type="default" w:linePitch="360" w:charSpace="0"/>
        </w:sectPr>
      </w:pPr>
    </w:p>
    <w:p>
      <w:pPr>
        <w:pStyle w:val="JustifiedBody"/>
        <w:rPr/>
      </w:pPr>
      <w:r>
        <w:rPr/>
        <w:t>Enron has developed a sophisticated Risk Assessment and Control Group which is independent of Enron’s origination organizations and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appropriate risk thresholds are determined and managed for each new market.</w:t>
      </w:r>
    </w:p>
    <w:p>
      <w:pPr>
        <w:pStyle w:val="Heading4"/>
        <w:spacing w:lineRule="auto" w:line="240" w:before="60" w:after="60"/>
        <w:ind w:hanging="0" w:start="0"/>
        <w:rPr>
          <w:smallCaps/>
        </w:rPr>
      </w:pPr>
      <w:bookmarkStart w:id="13" w:name="_Ref489097830"/>
      <w:r>
        <w:rPr>
          <w:smallCaps/>
        </w:rPr>
        <w:t>Credit Risk Management</w:t>
      </w:r>
      <w:bookmarkEnd w:id="13"/>
    </w:p>
    <w:p>
      <w:pPr>
        <w:pStyle w:val="JustifiedBody"/>
        <w:rPr/>
      </w:pPr>
      <w:r>
        <w:rPr/>
        <w:t>Credit Risk Management has approximately 39 professionals and performs a credit review of every transaction and counterparty.  The group also provides support in pricing credit risks in structured commodity transactions, as well as managing credit exposure from online trading.  Appropriate credit insurance is obtained to reduce the Company’s exposure.  All trading activities are aggregated into a consolidated portfolio where exposure can be evaluated and appropriate credit reserves determined.</w:t>
      </w:r>
    </w:p>
    <w:p>
      <w:pPr>
        <w:pStyle w:val="JustifiedBody"/>
        <w:rPr/>
      </w:pPr>
      <w:r>
        <w:rPr/>
        <w:t>The primary credit risk is counterparty credit evaluation and exposure.  Enron has developed systems and policies to manage this risk.  Enron has developed an E-Rating system that is based on quantitative and qualitative analysis and assigns a rating from one to twelve to a counterparty.  A rating between 1 and 5 indicates investment grade, with one being equivalent to S&amp;P’s AAA/AA+ and Moody’s Aaa/Aa+ and five equivalent to BBB- and Baa3 from S&amp;P and Moody’s, respectively.  A rating between six and twelve is considered a speculative investment grade.</w:t>
      </w:r>
    </w:p>
    <w:p>
      <w:pPr>
        <w:pStyle w:val="JustifiedBody"/>
        <w:rPr/>
      </w:pPr>
      <w:r>
        <w:rPr/>
        <w:t xml:space="preserve">To manage counterparty exposure, a credit reserve is recorded against mark-to-market earnings.  This reserve reflects the market price of credit on the transactions and is reviewed monthly to confirm adequacy.  The credit is priced at a transaction level utilizing Monte Carlo simulation.  Factors considered include tenor of deal, interest rates, internal counterparty credit rating, credit enhancements, commodity volatility, forward commodity prices and probability of default derived from corporate bond spreads.  </w:t>
      </w:r>
    </w:p>
    <w:p>
      <w:pPr>
        <w:pStyle w:val="JustifiedBody"/>
        <w:rPr/>
      </w:pPr>
      <w:r>
        <w:rPr/>
        <w:t>Enron requires a credit contract to be signed with trading counterparties.  The contracted credit provisions are designed to facilitate management of credit exposure over the life of the contract and to define remedies in the event of default.  There are several risk mitigants within a master contract including: netting provisions, liquidated damages, default triggers, material adverse change clauses and a collateral threshold.  Counterparties may also be required to provide credit enhancement if deemed necessary.  This enhancement could take the form of a parent company guarantee, a bank letter of credit or cash collateral.  Alternative deal structures may be available when counterparty credit is weak and credit enhancements are not available.</w:t>
      </w:r>
    </w:p>
    <w:p>
      <w:pPr>
        <w:pStyle w:val="JustifiedBody"/>
        <w:spacing w:before="60" w:after="120"/>
        <w:rPr>
          <w:b/>
          <w:smallCaps/>
          <w:sz w:val="24"/>
        </w:rPr>
      </w:pPr>
      <w:r>
        <w:rPr>
          <w:b/>
          <w:smallCaps/>
          <w:sz w:val="24"/>
        </w:rPr>
        <w:t xml:space="preserve">Market Risk Management </w:t>
      </w:r>
    </w:p>
    <w:p>
      <w:pPr>
        <w:pStyle w:val="JustifiedBody"/>
        <w:rPr/>
      </w:pPr>
      <w:r>
        <w:rPr/>
        <w:t xml:space="preserve">Market Risk Management has approximately 25 professionals and administers the Enron Corp.  Market Risk Management Policy.  The group prepares detailed analysis of proposed new markets for trading (“Risk Reviews”) and monitors trader performance.  Finally, the group also maintains the Global Risk Monitoring System (“GRMS”), a sophisticated computer system that </w:t>
      </w:r>
      <w:r>
        <w:rPr>
          <w:highlight w:val="yellow"/>
        </w:rPr>
        <w:t>________________</w:t>
      </w:r>
      <w:r>
        <w:rPr/>
        <w:t xml:space="preserve">.  </w:t>
      </w:r>
    </w:p>
    <w:p>
      <w:pPr>
        <w:pStyle w:val="JustifiedBody"/>
        <w:rPr/>
      </w:pPr>
      <w:r>
        <w:rPr/>
        <w:t>Enron’s Market Risk Management Policy is approved by the Board of Directors and helps to ensure that procedures are in place to identify risks and flag issues that require management attention.  The Market Risk Management Policy also ensures that appropriate checks and balances are in place and that trading authorization limits are established.  Performance of portfolios are analyzed for “Value-at-Risk” limit violations, average risk amounts, return on risk and limit utilization.  Value-at-Risk has become Enron’s standard measure of risk across portfolios and businesses.  It projects the loss that may be experienced in the value of a portfolio over a defined time period with a given confidence interval due to changes in market risk factors.  Enron’s Value-at-Risk methodology uses a 95% confidence interval and a one-day time horizon for each commodity and for the Company as a whole.</w:t>
      </w:r>
    </w:p>
    <w:p>
      <w:pPr>
        <w:sectPr>
          <w:headerReference w:type="default" r:id="rId76"/>
          <w:footerReference w:type="default" r:id="rId77"/>
          <w:type w:val="nextPage"/>
          <w:pgSz w:w="12240" w:h="15840"/>
          <w:pgMar w:left="1440" w:right="1440" w:gutter="0" w:header="432" w:top="1350" w:footer="720" w:bottom="1440"/>
          <w:pgNumType w:fmt="decimal"/>
          <w:formProt w:val="false"/>
          <w:textDirection w:val="lrTb"/>
          <w:docGrid w:type="default" w:linePitch="360" w:charSpace="0"/>
        </w:sectPr>
      </w:pPr>
    </w:p>
    <w:p>
      <w:pPr>
        <w:pStyle w:val="Heading4"/>
        <w:spacing w:lineRule="auto" w:line="240" w:before="0" w:after="120"/>
        <w:ind w:hanging="0" w:start="0"/>
        <w:rPr>
          <w:b w:val="false"/>
          <w:i/>
          <w:i/>
          <w:sz w:val="22"/>
        </w:rPr>
      </w:pPr>
      <w:bookmarkStart w:id="14" w:name="_Ref489097869"/>
      <w:r>
        <w:rPr>
          <w:b w:val="false"/>
          <w:i/>
          <w:sz w:val="22"/>
        </w:rPr>
        <w:t>Prospective investors should carefully consider the risks identified below, together with the other information contained in this Memorandum, before investing in Net Works.</w:t>
      </w:r>
      <w:bookmarkEnd w:id="14"/>
      <w:r>
        <w:rPr>
          <w:b w:val="false"/>
          <w:i/>
          <w:sz w:val="22"/>
        </w:rPr>
        <w:t xml:space="preserve"> </w:t>
      </w:r>
    </w:p>
    <w:p>
      <w:pPr>
        <w:pStyle w:val="JustifiedBody"/>
        <w:rPr/>
      </w:pPr>
      <w:r>
        <w:rPr>
          <w:b/>
          <w:i/>
        </w:rPr>
        <w:t>Limited Operation History</w:t>
      </w:r>
      <w:r>
        <w:rPr>
          <w:b/>
        </w:rPr>
        <w:t>.</w:t>
      </w:r>
      <w:r>
        <w:rPr/>
        <w:t xml:space="preserve">  Although Enron has trading activities in certain of the Targeted Industries, Net Works business strategy in the Targeted Industries and its related revenue and income potential is unproven and its business model is still emerging.  Net Works business is subject to risks, expenses and uncertainties encountered by companies in the new and rapidly evolving market for eCommerce products and services.  These risks include the failure or inability to: (i) provide services to clients that are reliable and cost-effective; (ii) expand sales structure and marketing programs; (iii) increase awareness of brand or market positioning or the relative advantages of Net Works services as compared to traditional distribution channels in the Targeted Industries; and (iv) respond to technological developments or service offerings by competitors.  Net Works may not be able to implement its business plan successfully, or at all. </w:t>
      </w:r>
    </w:p>
    <w:p>
      <w:pPr>
        <w:pStyle w:val="JustifiedBody"/>
        <w:rPr/>
      </w:pPr>
      <w:r>
        <w:rPr>
          <w:b/>
          <w:i/>
        </w:rPr>
        <w:t>Strategic Relationships</w:t>
      </w:r>
      <w:r>
        <w:rPr>
          <w:b/>
        </w:rPr>
        <w:t>.</w:t>
      </w:r>
      <w:r>
        <w:rPr/>
        <w:t xml:space="preserve">  The success of Net Works business plan depends, in part, on its ability to maintain and expand the network of customers, suppliers, traders, investors, brokers, dealers, banks and other financial institutions that will use its interactive electronic marketplaces.  Net Works cannot assure investors that it will be able to develop and expand its marketplaces, or that it will be able to retain participants in its marketplaces.  There are no agreements with market participants requiring them to trade with Net Works or otherwise use Net Works' electronic marketplaces.  These arrangements may not generate the expected number of new customers or trading volume.  To successfully execute the business plan, Net Works must build awareness and understanding of its electronic marketplace products, brand and the adaptability of its electronic marketplaces for commodities.  In order to build this awareness, Net Works marketing efforts must succeed and it must provide high-quality services.  These efforts will result significant expenses and Net Works cannot be assured that the marketing efforts will be successful or that the allocation of funds to these marketing efforts will be the most effective use of those funds. </w:t>
      </w:r>
    </w:p>
    <w:p>
      <w:pPr>
        <w:pStyle w:val="JustifiedBody"/>
        <w:rPr/>
      </w:pPr>
      <w:r>
        <w:rPr>
          <w:b/>
          <w:i/>
        </w:rPr>
        <w:t>Government Regulations.</w:t>
      </w:r>
      <w:r>
        <w:rPr/>
        <w:t xml:space="preserve">  Net Works may be subject to various laws and regulations relating to its business, which include numerous laws and regulations generally applicable to the Targeted Industries. Due to the increasing popularity and use of the Internet, it is possible that a number of laws and regulations may be adopted or interpreted in the U.S. and abroad with particular applicability to the Internet.  It is also possible that new laws and regulations may be adopted or interpreted by the U.S. and foreign governments, to address the sale and distribution of commodities utilizing the Internet.  In addition, it is possible that governments may enact legislation that may be applicable in areas such as content, product distribution, network security, encryption and the use of key escrow, data and privacy protection, electronic authentication or "digital" signatures, illegal and harmful content, access charges and re-transmission activities.  Moreover, the applicability to the Internet of existing laws governing issues such as property ownership, content, taxation, defamation, personal privacy, product liability and environmental protection, as well as the necessity for governmental permits, labeling, certifications and the need to supply information to relevant parties, is uncertain.  Most of these laws were adopted before the widespread use and commercialization of the Internet and, as a result, do not contemplate or address the unique issues of the Internet and related technologies.  Any export or import restrictions, new legislation or regulation or governmental enforcement of existing regulations may limit the growth of the Internet, increase the cost of doing business or increase legal exposure.   Any of these factors could have a negative effect on Net Works business, revenues, results of operations and financial condition.</w:t>
      </w:r>
    </w:p>
    <w:p>
      <w:pPr>
        <w:pStyle w:val="JustifiedBody"/>
        <w:rPr/>
      </w:pPr>
      <w:r>
        <w:rPr>
          <w:b/>
          <w:i/>
        </w:rPr>
        <w:t>Acquisitions and Intermediation.</w:t>
      </w:r>
      <w:r>
        <w:rPr/>
        <w:t xml:space="preserve">  Net Works intends to acquire access to specific physical assets in the Targeted Industries utilizing various acquisition approaches.  To be successful, Net Works will need to identify specific companies, assets, applications, technologies and businesses that are suited to transform and integrate disparate technologies and corporate cultures and manage geographically dispersed </w:t>
      </w:r>
    </w:p>
    <w:p>
      <w:pPr>
        <w:sectPr>
          <w:type w:val="continuous"/>
          <w:pgSz w:w="12240" w:h="15840"/>
          <w:pgMar w:left="1440" w:right="1440" w:gutter="0" w:header="432" w:top="1350" w:footer="720" w:bottom="1440"/>
          <w:formProt w:val="false"/>
          <w:textDirection w:val="lrTb"/>
          <w:docGrid w:type="default" w:linePitch="360" w:charSpace="0"/>
        </w:sectPr>
      </w:pPr>
    </w:p>
    <w:p>
      <w:pPr>
        <w:pStyle w:val="JustifiedBody"/>
        <w:rPr/>
      </w:pPr>
      <w:r>
        <w:rPr/>
        <w:t>companies or assets.  The activity of identifying and implementing potential investments entails a high degree of uncertainty.  There can be no assurance that Net Works will be able to successfully identify and implement such investments.  Moreover, acquisitions could divert attention from other business concerns and expose Net Works to unforeseen liabilities or risks associated with entering new markets or acquiring new assets.  Finally, Net Works may lose key employees while integrating these new companies or assets.  Integrating and transforming newly acquired organizations, assets and technologies into Net Works could be expensive, time consuming and may strain Net Works’ resources.</w:t>
      </w:r>
    </w:p>
    <w:p>
      <w:pPr>
        <w:pStyle w:val="JustifiedBody"/>
        <w:spacing w:before="60" w:after="120"/>
        <w:rPr/>
      </w:pPr>
      <w:r>
        <w:rPr>
          <w:b/>
          <w:i/>
        </w:rPr>
        <w:t>Relationship with Enron.</w:t>
      </w:r>
      <w:r>
        <w:rPr/>
        <w:t xml:space="preserve">  Enron will own directly or indirectly the General Partner and a substantial limited partner interest in Net Works.  As a result of its interest in the General Partner and its role as Manager, Enron will exert a significant influence over the policies, management and affairs of Net Works, including its investments in the Targeted Industries.  Certain individuals that serve as officers and directors of Enron may also serve as directors of Net Works.  The directors and officers of Enron have fiduciary duties to manage Enron, including its investments in subsidiaries and affiliates, in a manner beneficial to Enron and its stockholders.  Similarly, the directors and officers of the General Partner have duties to manage Net Works and its subsidiaries in a manner beneficial to the Partnership and its subsidiaries in accordance with the Partnership Agreement.  Therefore, the duties of the directors and officers of Enron may conflict with the duties of the directors and officers of Net Works.  Enron and its affiliates, and their respective officers and directors have been indemnified by Net Works against liabilities arising from such conflicts in certain circumstances.  In addition, certain other conflicts of interest exist and may arise in the future in a number of areas relating to past and ongoing relationships, including competitive business activities, potential acquisitions of businesses or properties, the election of new directors, marketing functions, indemnity arrangements, service arrangements, and the exercise by Enron of control over management and affairs. </w:t>
      </w:r>
    </w:p>
    <w:p>
      <w:pPr>
        <w:sectPr>
          <w:type w:val="continuous"/>
          <w:pgSz w:w="12240" w:h="15840"/>
          <w:pgMar w:left="1440" w:right="1440" w:gutter="0" w:header="432" w:top="1350" w:footer="720" w:bottom="1440"/>
          <w:formProt w:val="false"/>
          <w:textDirection w:val="lrTb"/>
          <w:docGrid w:type="default" w:linePitch="360" w:charSpace="0"/>
        </w:sectPr>
      </w:pPr>
    </w:p>
    <w:p>
      <w:pPr>
        <w:sectPr>
          <w:type w:val="continuous"/>
          <w:pgSz w:w="12240" w:h="15840"/>
          <w:pgMar w:left="1440" w:right="1440" w:gutter="0" w:header="432" w:top="1350" w:footer="720" w:bottom="1440"/>
          <w:formProt w:val="false"/>
          <w:textDirection w:val="lrTb"/>
          <w:docGrid w:type="default" w:linePitch="360" w:charSpace="0"/>
        </w:sectPr>
        <w:pStyle w:val="JustifiedBody"/>
        <w:spacing w:before="60" w:after="120"/>
        <w:rPr>
          <w:b/>
          <w:lang w:val="en-CA"/>
        </w:rPr>
      </w:pPr>
      <w:r>
        <w:rPr>
          <w:b/>
          <w:lang w:val="en-CA"/>
        </w:rPr>
      </w:r>
      <w:r>
        <w:br w:type="page"/>
      </w:r>
    </w:p>
    <w:p>
      <w:pPr>
        <w:pStyle w:val="Heading4"/>
        <w:spacing w:lineRule="auto" w:line="240" w:before="0" w:after="120"/>
        <w:ind w:hanging="0" w:start="0"/>
        <w:rPr/>
      </w:pPr>
      <w:bookmarkStart w:id="15" w:name="_Ref489097896"/>
      <w:r>
        <w:rPr/>
        <w:t>Attached is a Harvard Business School case study written in 1993 about Enron’s transformation of the U.S. natural gas industry.</w:t>
      </w:r>
      <w:bookmarkEnd w:id="15"/>
    </w:p>
    <w:p>
      <w:pPr>
        <w:sectPr>
          <w:headerReference w:type="default" r:id="rId78"/>
          <w:footerReference w:type="default" r:id="rId79"/>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
        <w:spacing w:before="60" w:after="120"/>
        <w:rPr>
          <w:b/>
          <w:lang w:val="en-CA"/>
        </w:rPr>
      </w:pPr>
      <w:r>
        <w:rPr>
          <w:b/>
          <w:lang w:val="en-CA"/>
        </w:rPr>
      </w:r>
    </w:p>
    <w:sectPr>
      <w:headerReference w:type="default" r:id="rId80"/>
      <w:headerReference w:type="first" r:id="rId81"/>
      <w:footerReference w:type="default" r:id="rId82"/>
      <w:footerReference w:type="first" r:id="rId83"/>
      <w:type w:val="nextPage"/>
      <w:pgSz w:w="12240" w:h="15840"/>
      <w:pgMar w:left="1440" w:right="1440" w:gutter="0" w:header="432" w:top="135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sktop3" w:date="0-00-00T00:00:00Z" w:initials="d">
    <w:p>
      <w:pPr>
        <w:overflowPunct w:val="false"/>
        <w:bidi w:val="0"/>
        <w:rPr/>
      </w:pPr>
      <w:r>
        <w:annotationRef/>
      </w:r>
      <w:r>
        <w:rPr>
          <w:rFonts w:ascii="Times New Roman" w:hAnsi="Times New Roman" w:eastAsia="Times New Roman" w:cs="Times New Roman"/>
          <w:color w:val="auto"/>
          <w:sz w:val="20"/>
          <w:szCs w:val="20"/>
          <w:lang w:eastAsia="en-US" w:val="en-US" w:bidi="ar-SA"/>
        </w:rPr>
        <w:t>Source: L:\DpuLevFinance\Complete\Caprio, Maria\07\Total Return Graph 90-00.xls</w:t>
      </w:r>
      <w:r>
        <w:rPr>
          <w:rFonts w:ascii="Times New Roman" w:hAnsi="Times New Roman" w:eastAsia="Times New Roman" w:cs="Times New Roman"/>
          <w:color w:val="auto"/>
          <w:sz w:val="20"/>
          <w:szCs w:val="20"/>
          <w:lang w:eastAsia="en-US" w:val="en-US" w:bidi="ar-SA"/>
        </w:rPr>
      </w:r>
      <w:r>
        <w:rPr>
          <w:rFonts w:ascii="Times New Roman" w:hAnsi="Times New Roman" w:eastAsia="Times New Roman" w:cs="Times New Roman"/>
          <w:color w:val="auto"/>
          <w:sz w:val="20"/>
          <w:szCs w:val="20"/>
          <w:lang w:eastAsia="en-US" w:val="en-US" w:bidi="ar-SA"/>
        </w:rPr>
        <w:t>Sheet4 Chart 3</w:t>
      </w:r>
      <w:r>
        <w:rPr>
          <w:rFonts w:ascii="Times New Roman" w:hAnsi="Times New Roman" w:eastAsia="Times New Roman" w:cs="Times New Roman"/>
          <w:color w:val="auto"/>
          <w:sz w:val="20"/>
          <w:szCs w:val="20"/>
          <w:lang w:eastAsia="en-US" w:val="en-US" w:bidi="ar-SA"/>
        </w:rPr>
      </w:r>
    </w:p>
  </w:comment>
  <w:comment w:id="1" w:author="desktop3" w:date="0-00-00T00:00:00Z" w:initials="d">
    <w:p>
      <w:pPr>
        <w:overflowPunct w:val="false"/>
        <w:bidi w:val="0"/>
        <w:rPr/>
      </w:pPr>
      <w:r>
        <w:annotationRef/>
      </w:r>
      <w:r>
        <w:rPr>
          <w:rFonts w:ascii="Times New Roman" w:hAnsi="Times New Roman" w:eastAsia="Times New Roman" w:cs="Times New Roman"/>
          <w:color w:val="auto"/>
          <w:sz w:val="20"/>
          <w:szCs w:val="20"/>
          <w:lang w:eastAsia="en-US" w:val="en-US" w:bidi="ar-SA"/>
        </w:rPr>
        <w:t>Source: L:\DpuLevFinance\Complete\Caprio, Maria\07\Total Return Graph 90-00.xls</w:t>
      </w:r>
      <w:r>
        <w:rPr>
          <w:rFonts w:ascii="Times New Roman" w:hAnsi="Times New Roman" w:eastAsia="Times New Roman" w:cs="Times New Roman"/>
          <w:color w:val="auto"/>
          <w:sz w:val="20"/>
          <w:szCs w:val="20"/>
          <w:lang w:eastAsia="en-US" w:val="en-US" w:bidi="ar-SA"/>
        </w:rPr>
      </w:r>
      <w:r>
        <w:rPr>
          <w:rFonts w:ascii="Times New Roman" w:hAnsi="Times New Roman" w:eastAsia="Times New Roman" w:cs="Times New Roman"/>
          <w:color w:val="auto"/>
          <w:sz w:val="20"/>
          <w:szCs w:val="20"/>
          <w:lang w:eastAsia="en-US" w:val="en-US" w:bidi="ar-SA"/>
        </w:rPr>
        <w:t>Sheet4 Chart 3</w:t>
      </w:r>
      <w:r>
        <w:rPr>
          <w:rFonts w:ascii="Times New Roman" w:hAnsi="Times New Roman" w:eastAsia="Times New Roman" w:cs="Times New Roman"/>
          <w:color w:val="auto"/>
          <w:sz w:val="20"/>
          <w:szCs w:val="20"/>
          <w:lang w:eastAsia="en-US" w:val="en-US" w:bidi="ar-SA"/>
        </w:rPr>
      </w:r>
    </w:p>
  </w:comment>
  <w:comment w:id="2" w:author="desktop3" w:date="0-00-00T00:00:00Z" w:initials="d">
    <w:p>
      <w:pPr>
        <w:overflowPunct w:val="false"/>
        <w:bidi w:val="0"/>
        <w:rPr/>
      </w:pPr>
      <w:r>
        <w:annotationRef/>
      </w:r>
      <w:r>
        <w:rPr>
          <w:rFonts w:ascii="Times New Roman" w:hAnsi="Times New Roman" w:eastAsia="Times New Roman" w:cs="Times New Roman"/>
          <w:color w:val="auto"/>
          <w:sz w:val="20"/>
          <w:szCs w:val="20"/>
          <w:lang w:eastAsia="en-US" w:val="en-US" w:bidi="ar-SA"/>
        </w:rPr>
        <w:t>Source: L:\DpuLevFinance\Complete\Caprio, Maria\07\Total Return Graph 90-00.xls</w:t>
      </w:r>
      <w:r>
        <w:rPr>
          <w:rFonts w:ascii="Times New Roman" w:hAnsi="Times New Roman" w:eastAsia="Times New Roman" w:cs="Times New Roman"/>
          <w:color w:val="auto"/>
          <w:sz w:val="20"/>
          <w:szCs w:val="20"/>
          <w:lang w:eastAsia="en-US" w:val="en-US" w:bidi="ar-SA"/>
        </w:rPr>
      </w:r>
      <w:r>
        <w:rPr>
          <w:rFonts w:ascii="Times New Roman" w:hAnsi="Times New Roman" w:eastAsia="Times New Roman" w:cs="Times New Roman"/>
          <w:color w:val="auto"/>
          <w:sz w:val="20"/>
          <w:szCs w:val="20"/>
          <w:lang w:eastAsia="en-US" w:val="en-US" w:bidi="ar-SA"/>
        </w:rPr>
        <w:t>Sheet4 Chart 3</w:t>
      </w:r>
      <w:r>
        <w:rPr>
          <w:rFonts w:ascii="Times New Roman" w:hAnsi="Times New Roman" w:eastAsia="Times New Roman" w:cs="Times New Roman"/>
          <w:color w:val="auto"/>
          <w:sz w:val="20"/>
          <w:szCs w:val="20"/>
          <w:lang w:eastAsia="en-US" w:val="en-US" w:bidi="ar-SA"/>
        </w:rPr>
      </w:r>
    </w:p>
  </w:comment>
  <w:comment w:id="3" w:author="desktop3" w:date="0-00-00T00:00:00Z" w:initials="d">
    <w:p>
      <w:pPr>
        <w:overflowPunct w:val="false"/>
        <w:bidi w:val="0"/>
        <w:rPr/>
      </w:pPr>
      <w:r>
        <w:annotationRef/>
      </w:r>
      <w:r>
        <w:rPr>
          <w:rFonts w:ascii="Times New Roman" w:hAnsi="Times New Roman" w:eastAsia="Times New Roman" w:cs="Times New Roman"/>
          <w:color w:val="auto"/>
          <w:sz w:val="20"/>
          <w:szCs w:val="20"/>
          <w:lang w:eastAsia="en-US" w:val="en-US" w:bidi="ar-SA"/>
        </w:rPr>
        <w:t>Source: L:\DpuLevFinance\Complete\Caprio, Maria\07\Total Return Graph 90-00.xls</w:t>
      </w:r>
      <w:r>
        <w:rPr>
          <w:rFonts w:ascii="Times New Roman" w:hAnsi="Times New Roman" w:eastAsia="Times New Roman" w:cs="Times New Roman"/>
          <w:color w:val="auto"/>
          <w:sz w:val="20"/>
          <w:szCs w:val="20"/>
          <w:lang w:eastAsia="en-US" w:val="en-US" w:bidi="ar-SA"/>
        </w:rPr>
      </w:r>
      <w:r>
        <w:rPr>
          <w:rFonts w:ascii="Times New Roman" w:hAnsi="Times New Roman" w:eastAsia="Times New Roman" w:cs="Times New Roman"/>
          <w:color w:val="auto"/>
          <w:sz w:val="20"/>
          <w:szCs w:val="20"/>
          <w:lang w:eastAsia="en-US" w:val="en-US" w:bidi="ar-SA"/>
        </w:rPr>
        <w:t>Sheet5 Chart 2</w:t>
      </w:r>
      <w:r>
        <w:rPr>
          <w:rFonts w:ascii="Times New Roman" w:hAnsi="Times New Roman" w:eastAsia="Times New Roman" w:cs="Times New Roman"/>
          <w:color w:val="auto"/>
          <w:sz w:val="20"/>
          <w:szCs w:val="20"/>
          <w:lang w:eastAsia="en-US" w:val="en-US" w:bidi="ar-SA"/>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Sans Unicode">
    <w:charset w:val="00" w:characterSet="windows-1252"/>
    <w:family w:val="swiss"/>
    <w:pitch w:val="variable"/>
  </w:font>
  <w:font w:name="Marlett">
    <w:charset w:val="02"/>
    <w:family w:val="auto"/>
    <w:pitch w:val="variable"/>
  </w:font>
  <w:font w:name="Wingdings 3">
    <w:altName w:val="Symbol"/>
    <w:charset w:val="02"/>
    <w:family w:val="roman"/>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64135" cy="146685"/>
              <wp:effectExtent l="0" t="0" r="0" b="0"/>
              <wp:wrapSquare wrapText="bothSides"/>
              <wp:docPr id="15"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64135" cy="146685"/>
              <wp:effectExtent l="0" t="0" r="0" b="0"/>
              <wp:wrapSquare wrapText="bothSides"/>
              <wp:docPr id="8"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1" name="Frame5"/>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64135" cy="146685"/>
              <wp:effectExtent l="0" t="0" r="0" b="0"/>
              <wp:wrapSquare wrapText="bothSides"/>
              <wp:docPr id="14"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pPr>
    <w:r>
      <w:rPr>
        <w:b/>
        <w:smallCaps/>
        <w:sz w:val="28"/>
      </w:rPr>
      <w:t>III.  Enron Corp.’s Track Record</w:t>
    </w:r>
    <w:r>
      <w:rPr>
        <w:smallCaps/>
        <w:sz w:val="28"/>
      </w:rPr>
      <w:t xml:space="preserve"> </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4"/>
      </w:rPr>
    </w:pPr>
    <w:r>
      <w:rPr>
        <w:b/>
        <w:smallCaps/>
        <w:sz w:val="24"/>
      </w:rPr>
    </w:r>
  </w:p>
  <w:p>
    <w:pPr>
      <w:pStyle w:val="Header"/>
      <w:jc w:val="center"/>
      <w:rPr>
        <w:b/>
        <w:smallCaps/>
        <w:sz w:val="24"/>
      </w:rPr>
    </w:pPr>
    <w:r>
      <w:rPr>
        <w:b/>
        <w:smallCaps/>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pPr>
    <w:r>
      <w:rPr>
        <w:b/>
        <w:sz w:val="24"/>
      </w:rPr>
      <w:t xml:space="preserve">IV.  </w:t>
    </w:r>
    <w:r>
      <w:rPr>
        <w:b/>
        <w:smallCaps/>
        <w:sz w:val="24"/>
      </w:rPr>
      <w:t>Net Works Business Plan</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V.  Organization, Management and Employees</w:t>
    </w:r>
  </w:p>
  <w:p>
    <w:pPr>
      <w:pStyle w:val="Header"/>
      <w:jc w:val="center"/>
      <w:rPr>
        <w:b/>
        <w:smallCaps/>
        <w:sz w:val="24"/>
      </w:rPr>
    </w:pPr>
    <w:r>
      <w:rPr>
        <w:b/>
        <w:smallCaps/>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8"/>
      </w:rPr>
    </w:pPr>
    <w:r>
      <w:rPr>
        <w:b/>
        <w:smallCaps/>
        <w:sz w:val="28"/>
      </w:rPr>
      <w:t>VI.  Enron Contributed Assets</w:t>
    </w:r>
  </w:p>
  <w:p>
    <w:pPr>
      <w:pStyle w:val="Header"/>
      <w:jc w:val="center"/>
      <w:rPr>
        <w:b/>
        <w:smallCaps/>
        <w:sz w:val="24"/>
      </w:rPr>
    </w:pPr>
    <w:r>
      <w:rPr>
        <w:b/>
        <w:smallCaps/>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4"/>
      </w:rPr>
    </w:pPr>
    <w:r>
      <w:rPr>
        <w:b/>
        <w:smallCaps/>
        <w:sz w:val="28"/>
      </w:rPr>
      <w:t>VII.  Management Projections and Assumptions</w:t>
    </w:r>
  </w:p>
  <w:p>
    <w:pPr>
      <w:pStyle w:val="Header"/>
      <w:jc w:val="center"/>
      <w:rPr>
        <w:b/>
        <w:smallCaps/>
        <w:sz w:val="24"/>
      </w:rPr>
    </w:pPr>
    <w:r>
      <w:rPr>
        <w:b/>
        <w:smallCaps/>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 xml:space="preserve">Appendix B </w:t>
    </w:r>
  </w:p>
  <w:p>
    <w:pPr>
      <w:pStyle w:val="Normal"/>
      <w:jc w:val="center"/>
      <w:rPr>
        <w:b/>
        <w:smallCaps/>
        <w:sz w:val="28"/>
      </w:rPr>
    </w:pPr>
    <w:r>
      <w:rPr>
        <w:b/>
        <w:smallCaps/>
        <w:sz w:val="28"/>
      </w:rPr>
      <w:t>Enron’s Risk Assessment and Control Group</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t>Appendix D</w:t>
    </w:r>
  </w:p>
  <w:p>
    <w:pPr>
      <w:pStyle w:val="Header"/>
      <w:jc w:val="center"/>
      <w:rPr>
        <w:b/>
        <w:smallCaps/>
        <w:sz w:val="28"/>
      </w:rPr>
    </w:pPr>
    <w:r>
      <w:rPr>
        <w:b/>
        <w:smallCaps/>
        <w:sz w:val="28"/>
      </w:rPr>
      <w:t>Enron’s Transformation of the Natural Gas Industry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p>
    <w:pPr>
      <w:pStyle w:val="Header"/>
      <w:jc w:val="center"/>
      <w:rPr/>
    </w:pPr>
    <w:r>
      <w:rPr>
        <w:b/>
        <w:sz w:val="28"/>
      </w:rPr>
      <w:t>I</w:t>
    </w:r>
    <w:r>
      <w:rPr>
        <w:b/>
        <w:smallCaps/>
        <w:sz w:val="28"/>
      </w:rPr>
      <w:t>.  Executive Summary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0" w:after="60"/>
      <w:ind w:hanging="0" w:start="0"/>
      <w:jc w:val="center"/>
      <w:rPr>
        <w:smallCaps/>
        <w:sz w:val="28"/>
      </w:rPr>
    </w:pPr>
    <w:r>
      <w:rPr>
        <w:smallCaps/>
        <w:sz w:val="28"/>
      </w:rPr>
    </w:r>
  </w:p>
  <w:p>
    <w:pPr>
      <w:pStyle w:val="Heading4"/>
      <w:spacing w:lineRule="auto" w:line="240" w:before="0" w:after="60"/>
      <w:ind w:hanging="0" w:start="0"/>
      <w:jc w:val="center"/>
      <w:rPr>
        <w:smallCaps/>
        <w:sz w:val="28"/>
      </w:rPr>
    </w:pPr>
    <w:r>
      <w:rPr>
        <w:smallCaps/>
        <w:sz w:val="28"/>
      </w:rPr>
      <w:t>I.  Executive Summary</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8"/>
      </w:rPr>
    </w:pPr>
    <w:r>
      <w:rPr>
        <w:b/>
        <w:smallCaps/>
        <w:sz w:val="28"/>
      </w:rPr>
      <w:t xml:space="preserve">II.  Investment Highlights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720"/>
        </w:tabs>
        <w:ind w:start="720" w:hanging="360"/>
      </w:pPr>
      <w:rPr>
        <w:rFonts w:ascii="Arial" w:hAnsi="Arial" w:cs="Arial" w:hint="default"/>
        <w:sz w:val="26"/>
        <w:i w:val="false"/>
        <w:b w:val="false"/>
      </w:r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bullet"/>
      <w:lvlText w:val="►"/>
      <w:lvlJc w:val="start"/>
      <w:pPr>
        <w:tabs>
          <w:tab w:val="num" w:pos="576"/>
        </w:tabs>
        <w:ind w:start="576" w:hanging="360"/>
      </w:pPr>
      <w:rPr>
        <w:rFonts w:ascii="Times New Roman" w:hAnsi="Times New Roman" w:cs="Times New Roman" w:hint="default"/>
        <w:sz w:val="14"/>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spacing w:lineRule="auto" w:line="480"/>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ind w:firstLine="720" w:start="0" w:end="0"/>
      <w:jc w:val="both"/>
      <w:outlineLvl w:val="5"/>
    </w:pPr>
    <w:rPr>
      <w:b/>
      <w:sz w:val="24"/>
    </w:rPr>
  </w:style>
  <w:style w:type="paragraph" w:styleId="Heading7">
    <w:name w:val="heading 7"/>
    <w:basedOn w:val="Normal"/>
    <w:next w:val="Normal"/>
    <w:qFormat/>
    <w:pPr>
      <w:keepNext w:val="true"/>
      <w:numPr>
        <w:ilvl w:val="6"/>
        <w:numId w:val="1"/>
      </w:numPr>
      <w:jc w:val="center"/>
      <w:outlineLvl w:val="6"/>
    </w:pPr>
    <w:rPr>
      <w:b/>
      <w:sz w:val="16"/>
      <w:u w:val="single"/>
    </w:rPr>
  </w:style>
  <w:style w:type="paragraph" w:styleId="Heading8">
    <w:name w:val="heading 8"/>
    <w:basedOn w:val="Normal"/>
    <w:next w:val="Normal"/>
    <w:qFormat/>
    <w:pPr>
      <w:keepNext w:val="true"/>
      <w:numPr>
        <w:ilvl w:val="7"/>
        <w:numId w:val="1"/>
      </w:numPr>
      <w:jc w:val="center"/>
      <w:outlineLvl w:val="7"/>
    </w:pPr>
    <w:rPr>
      <w:b/>
      <w:sz w:val="16"/>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5">
    <w:name w:val="WW8Num11z5"/>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sz w:val="12"/>
    </w:rPr>
  </w:style>
  <w:style w:type="character" w:styleId="WW8Num18z0">
    <w:name w:val="WW8Num18z0"/>
    <w:qFormat/>
    <w:rPr>
      <w:rFonts w:ascii="Symbol" w:hAnsi="Symbol" w:cs="Symbol"/>
      <w:sz w:val="12"/>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Lucida Sans Unicode" w:hAnsi="Lucida Sans Unicode" w:cs="Lucida Sans Unicode"/>
      <w:sz w:val="16"/>
    </w:rPr>
  </w:style>
  <w:style w:type="character" w:styleId="WW8Num32z0">
    <w:name w:val="WW8Num32z0"/>
    <w:qFormat/>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b/>
      <w:i w:val="false"/>
      <w:sz w:val="12"/>
    </w:rPr>
  </w:style>
  <w:style w:type="character" w:styleId="WW8Num49z0">
    <w:name w:val="WW8Num49z0"/>
    <w:qFormat/>
    <w:rPr>
      <w:rFonts w:ascii="Symbol" w:hAnsi="Symbol" w:cs="Symbol"/>
      <w:color w:val="auto"/>
      <w:sz w:val="28"/>
    </w:rPr>
  </w:style>
  <w:style w:type="character" w:styleId="WW8Num50z0">
    <w:name w:val="WW8Num50z0"/>
    <w:qFormat/>
    <w:rPr>
      <w:rFonts w:ascii="Symbol" w:hAnsi="Symbol" w:cs="Symbol"/>
    </w:rPr>
  </w:style>
  <w:style w:type="character" w:styleId="WW8Num51z0">
    <w:name w:val="WW8Num51z0"/>
    <w:qFormat/>
    <w:rPr>
      <w:rFonts w:ascii="Wingdings" w:hAnsi="Wingdings" w:cs="Wingdings"/>
      <w:color w:val="auto"/>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sz w:val="14"/>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b w:val="false"/>
      <w:i/>
    </w:rPr>
  </w:style>
  <w:style w:type="character" w:styleId="WW8Num75z0">
    <w:name w:val="WW8Num75z0"/>
    <w:qFormat/>
    <w:rPr>
      <w:rFonts w:ascii="Symbol" w:hAnsi="Symbol" w:cs="Symbol"/>
      <w:sz w:val="20"/>
    </w:rPr>
  </w:style>
  <w:style w:type="character" w:styleId="WW8Num76z0">
    <w:name w:val="WW8Num76z0"/>
    <w:qFormat/>
    <w:rPr>
      <w:rFonts w:ascii="Wingdings" w:hAnsi="Wingdings" w:cs="Wingdings"/>
      <w:sz w:val="16"/>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b/>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sz w:val="20"/>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Wingdings" w:hAnsi="Wingdings" w:cs="Wingdings"/>
      <w:sz w:val="12"/>
    </w:rPr>
  </w:style>
  <w:style w:type="character" w:styleId="WW8Num90z0">
    <w:name w:val="WW8Num90z0"/>
    <w:qFormat/>
    <w:rPr/>
  </w:style>
  <w:style w:type="character" w:styleId="WW8Num91z0">
    <w:name w:val="WW8Num91z0"/>
    <w:qFormat/>
    <w:rPr>
      <w:rFonts w:ascii="Symbol" w:hAnsi="Symbol" w:cs="Symbol"/>
      <w:sz w:val="20"/>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sz w:val="14"/>
    </w:rPr>
  </w:style>
  <w:style w:type="character" w:styleId="WW8Num96z0">
    <w:name w:val="WW8Num96z0"/>
    <w:qFormat/>
    <w:rPr>
      <w:rFonts w:ascii="Symbol" w:hAnsi="Symbol" w:cs="Symbol"/>
      <w:color w:val="auto"/>
      <w:sz w:val="28"/>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sz w:val="16"/>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rPr>
  </w:style>
  <w:style w:type="character" w:styleId="WW8Num106z0">
    <w:name w:val="WW8Num106z0"/>
    <w:qFormat/>
    <w:rPr>
      <w:b w:val="false"/>
      <w:i/>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sz w:val="28"/>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sz w:val="18"/>
    </w:rPr>
  </w:style>
  <w:style w:type="character" w:styleId="WW8Num116z0">
    <w:name w:val="WW8Num116z0"/>
    <w:qFormat/>
    <w:rPr>
      <w:rFonts w:ascii="Symbol" w:hAnsi="Symbol" w:cs="Symbol"/>
      <w:sz w:val="12"/>
    </w:rPr>
  </w:style>
  <w:style w:type="character" w:styleId="WW8Num117z0">
    <w:name w:val="WW8Num117z0"/>
    <w:qFormat/>
    <w:rPr>
      <w:rFonts w:ascii="Symbol" w:hAnsi="Symbol" w:cs="Symbol"/>
    </w:rPr>
  </w:style>
  <w:style w:type="character" w:styleId="WW8Num118z0">
    <w:name w:val="WW8Num118z0"/>
    <w:qFormat/>
    <w:rPr>
      <w:rFonts w:ascii="Symbol" w:hAnsi="Symbol" w:cs="Symbol"/>
      <w:sz w:val="20"/>
    </w:rPr>
  </w:style>
  <w:style w:type="character" w:styleId="WW8Num119z0">
    <w:name w:val="WW8Num119z0"/>
    <w:qFormat/>
    <w:rPr/>
  </w:style>
  <w:style w:type="character" w:styleId="WW8Num120z0">
    <w:name w:val="WW8Num120z0"/>
    <w:qFormat/>
    <w:rPr>
      <w:rFonts w:ascii="Wingdings" w:hAnsi="Wingdings" w:cs="Wingdings"/>
      <w:sz w:val="16"/>
    </w:rPr>
  </w:style>
  <w:style w:type="character" w:styleId="WW8Num121z0">
    <w:name w:val="WW8Num121z0"/>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Wingdings" w:hAnsi="Wingdings" w:cs="Wingdings"/>
      <w:sz w:val="20"/>
    </w:rPr>
  </w:style>
  <w:style w:type="character" w:styleId="WW8Num125z0">
    <w:name w:val="WW8Num125z0"/>
    <w:qFormat/>
    <w:rPr>
      <w:rFonts w:ascii="Symbol" w:hAnsi="Symbol" w:cs="Symbol"/>
      <w:color w:val="auto"/>
    </w:rPr>
  </w:style>
  <w:style w:type="character" w:styleId="WW8Num126z0">
    <w:name w:val="WW8Num126z0"/>
    <w:qFormat/>
    <w:rPr>
      <w:rFonts w:ascii="Wingdings" w:hAnsi="Wingdings" w:cs="Wingdings"/>
      <w:sz w:val="16"/>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sz w:val="20"/>
    </w:rPr>
  </w:style>
  <w:style w:type="character" w:styleId="WW8Num130z0">
    <w:name w:val="WW8Num130z0"/>
    <w:qFormat/>
    <w:rPr>
      <w:rFonts w:ascii="Symbol" w:hAnsi="Symbol" w:cs="Symbol"/>
      <w:color w:val="auto"/>
      <w:sz w:val="28"/>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sz w:val="24"/>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sz w:val="20"/>
    </w:rPr>
  </w:style>
  <w:style w:type="character" w:styleId="WW8Num137z0">
    <w:name w:val="WW8Num137z0"/>
    <w:qFormat/>
    <w:rPr>
      <w:rFonts w:ascii="Symbol" w:hAnsi="Symbol" w:cs="Symbol"/>
      <w:color w:val="auto"/>
    </w:rPr>
  </w:style>
  <w:style w:type="character" w:styleId="WW8Num138z0">
    <w:name w:val="WW8Num138z0"/>
    <w:qFormat/>
    <w:rPr/>
  </w:style>
  <w:style w:type="character" w:styleId="WW8Num140z0">
    <w:name w:val="WW8Num140z0"/>
    <w:qFormat/>
    <w:rPr/>
  </w:style>
  <w:style w:type="character" w:styleId="WW8Num141z0">
    <w:name w:val="WW8Num141z0"/>
    <w:qFormat/>
    <w:rPr>
      <w:rFonts w:ascii="Symbol" w:hAnsi="Symbol" w:cs="Symbol"/>
      <w:sz w:val="20"/>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4z0">
    <w:name w:val="WW8Num144z0"/>
    <w:qFormat/>
    <w:rPr>
      <w:rFonts w:ascii="Symbol" w:hAnsi="Symbol" w:cs="Symbol"/>
      <w:color w:val="auto"/>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sz w:val="20"/>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Times New Roman" w:hAnsi="Times New Roman" w:cs="Times New Roman"/>
      <w:b w:val="false"/>
      <w:i/>
      <w:sz w:val="16"/>
    </w:rPr>
  </w:style>
  <w:style w:type="character" w:styleId="WW8Num151z0">
    <w:name w:val="WW8Num151z0"/>
    <w:qFormat/>
    <w:rPr>
      <w:rFonts w:ascii="Symbol" w:hAnsi="Symbol" w:cs="Symbol"/>
      <w:sz w:val="20"/>
    </w:rPr>
  </w:style>
  <w:style w:type="character" w:styleId="WW8Num152z0">
    <w:name w:val="WW8Num152z0"/>
    <w:qFormat/>
    <w:rPr>
      <w:rFonts w:ascii="Wingdings" w:hAnsi="Wingdings" w:cs="Wingdings"/>
    </w:rPr>
  </w:style>
  <w:style w:type="character" w:styleId="WW8Num153z0">
    <w:name w:val="WW8Num153z0"/>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Times New Roman" w:hAnsi="Times New Roman" w:cs="Times New Roman"/>
      <w:sz w:val="16"/>
    </w:rPr>
  </w:style>
  <w:style w:type="character" w:styleId="WW8Num157z0">
    <w:name w:val="WW8Num157z0"/>
    <w:qFormat/>
    <w:rPr>
      <w:rFonts w:ascii="Symbol" w:hAnsi="Symbol" w:cs="Symbol"/>
    </w:rPr>
  </w:style>
  <w:style w:type="character" w:styleId="WW8Num158z0">
    <w:name w:val="WW8Num158z0"/>
    <w:qFormat/>
    <w:rPr>
      <w:b w:val="false"/>
      <w:i/>
    </w:rPr>
  </w:style>
  <w:style w:type="character" w:styleId="WW8Num159z0">
    <w:name w:val="WW8Num159z0"/>
    <w:qFormat/>
    <w:rPr>
      <w:rFonts w:ascii="Symbol" w:hAnsi="Symbol" w:cs="Symbol"/>
      <w:sz w:val="12"/>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Wingdings" w:hAnsi="Wingdings" w:cs="Wingdings"/>
    </w:rPr>
  </w:style>
  <w:style w:type="character" w:styleId="WW8Num166z0">
    <w:name w:val="WW8Num166z0"/>
    <w:qFormat/>
    <w:rPr/>
  </w:style>
  <w:style w:type="character" w:styleId="WW8Num167z0">
    <w:name w:val="WW8Num167z0"/>
    <w:qFormat/>
    <w:rPr/>
  </w:style>
  <w:style w:type="character" w:styleId="WW8Num168z0">
    <w:name w:val="WW8Num168z0"/>
    <w:qFormat/>
    <w:rPr>
      <w:rFonts w:ascii="Wingdings" w:hAnsi="Wingdings" w:cs="Wingdings"/>
    </w:rPr>
  </w:style>
  <w:style w:type="character" w:styleId="WW8Num169z0">
    <w:name w:val="WW8Num169z0"/>
    <w:qFormat/>
    <w:rPr>
      <w:rFonts w:ascii="Symbol" w:hAnsi="Symbol" w:cs="Symbol"/>
      <w:sz w:val="20"/>
    </w:rPr>
  </w:style>
  <w:style w:type="character" w:styleId="WW8Num170z0">
    <w:name w:val="WW8Num170z0"/>
    <w:qFormat/>
    <w:rPr>
      <w:rFonts w:ascii="Symbol" w:hAnsi="Symbol" w:cs="Symbol"/>
      <w:sz w:val="20"/>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rPr>
  </w:style>
  <w:style w:type="character" w:styleId="WW8Num178z0">
    <w:name w:val="WW8Num178z0"/>
    <w:qFormat/>
    <w:rPr>
      <w:rFonts w:ascii="Symbol" w:hAnsi="Symbol" w:cs="Symbol"/>
      <w:color w:val="auto"/>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style>
  <w:style w:type="character" w:styleId="WW8Num184z0">
    <w:name w:val="WW8Num184z0"/>
    <w:qFormat/>
    <w:rPr>
      <w:rFonts w:ascii="Wingdings" w:hAnsi="Wingdings" w:cs="Wingdings"/>
    </w:rPr>
  </w:style>
  <w:style w:type="character" w:styleId="WW8Num185z0">
    <w:name w:val="WW8Num185z0"/>
    <w:qFormat/>
    <w:rPr/>
  </w:style>
  <w:style w:type="character" w:styleId="WW8Num186z0">
    <w:name w:val="WW8Num186z0"/>
    <w:qFormat/>
    <w:rPr>
      <w:rFonts w:ascii="Arial" w:hAnsi="Arial" w:cs="Arial"/>
      <w:b w:val="false"/>
      <w:i w:val="false"/>
      <w:sz w:val="26"/>
    </w:rPr>
  </w:style>
  <w:style w:type="character" w:styleId="WW8Num187z0">
    <w:name w:val="WW8Num187z0"/>
    <w:qFormat/>
    <w:rPr>
      <w:rFonts w:ascii="Symbol" w:hAnsi="Symbol" w:cs="Symbol"/>
    </w:rPr>
  </w:style>
  <w:style w:type="character" w:styleId="WW8Num188z0">
    <w:name w:val="WW8Num188z0"/>
    <w:qFormat/>
    <w:rPr>
      <w:rFonts w:ascii="Symbol" w:hAnsi="Symbol" w:cs="Symbol"/>
      <w:sz w:val="20"/>
    </w:rPr>
  </w:style>
  <w:style w:type="character" w:styleId="WW8Num189z0">
    <w:name w:val="WW8Num189z0"/>
    <w:qFormat/>
    <w:rPr>
      <w:rFonts w:ascii="Symbol" w:hAnsi="Symbol" w:cs="Symbol"/>
      <w:sz w:val="20"/>
    </w:rPr>
  </w:style>
  <w:style w:type="character" w:styleId="WW8Num190z0">
    <w:name w:val="WW8Num190z0"/>
    <w:qFormat/>
    <w:rPr>
      <w:rFonts w:ascii="Symbol" w:hAnsi="Symbol" w:cs="Symbol"/>
      <w:sz w:val="24"/>
    </w:rPr>
  </w:style>
  <w:style w:type="character" w:styleId="WW8Num191z0">
    <w:name w:val="WW8Num191z0"/>
    <w:qFormat/>
    <w:rPr>
      <w:rFonts w:ascii="Symbol" w:hAnsi="Symbol" w:cs="Symbol"/>
      <w:color w:val="auto"/>
      <w:sz w:val="28"/>
    </w:rPr>
  </w:style>
  <w:style w:type="character" w:styleId="WW8Num192z0">
    <w:name w:val="WW8Num192z0"/>
    <w:qFormat/>
    <w:rPr>
      <w:rFonts w:ascii="Times New Roman" w:hAnsi="Times New Roman" w:cs="Times New Roman"/>
      <w:b w:val="false"/>
      <w:i w:val="false"/>
      <w:sz w:val="20"/>
      <w:u w:val="none"/>
    </w:rPr>
  </w:style>
  <w:style w:type="character" w:styleId="WW8Num193z0">
    <w:name w:val="WW8Num193z0"/>
    <w:qFormat/>
    <w:rPr/>
  </w:style>
  <w:style w:type="character" w:styleId="WW8Num194z0">
    <w:name w:val="WW8Num194z0"/>
    <w:qFormat/>
    <w:rPr>
      <w:rFonts w:ascii="Symbol" w:hAnsi="Symbol" w:cs="Symbol"/>
      <w:color w:val="auto"/>
    </w:rPr>
  </w:style>
  <w:style w:type="character" w:styleId="WW8Num195z0">
    <w:name w:val="WW8Num195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sz w:val="20"/>
    </w:rPr>
  </w:style>
  <w:style w:type="character" w:styleId="WW8Num200z0">
    <w:name w:val="WW8Num200z0"/>
    <w:qFormat/>
    <w:rPr>
      <w:rFonts w:ascii="Arial" w:hAnsi="Arial" w:cs="Arial"/>
      <w:b w:val="false"/>
      <w:i w:val="false"/>
      <w:sz w:val="26"/>
    </w:rPr>
  </w:style>
  <w:style w:type="character" w:styleId="WW8Num201z0">
    <w:name w:val="WW8Num201z0"/>
    <w:qFormat/>
    <w:rPr>
      <w:rFonts w:ascii="Wingdings" w:hAnsi="Wingdings" w:cs="Wingdings"/>
    </w:rPr>
  </w:style>
  <w:style w:type="character" w:styleId="WW8Num203z0">
    <w:name w:val="WW8Num203z0"/>
    <w:qFormat/>
    <w:rPr>
      <w:rFonts w:ascii="Wingdings" w:hAnsi="Wingdings" w:cs="Wingdings"/>
    </w:rPr>
  </w:style>
  <w:style w:type="character" w:styleId="WW8Num204z0">
    <w:name w:val="WW8Num204z0"/>
    <w:qFormat/>
    <w:rPr>
      <w:rFonts w:ascii="Wingdings" w:hAnsi="Wingdings" w:cs="Wingdings"/>
      <w:sz w:val="14"/>
    </w:rPr>
  </w:style>
  <w:style w:type="character" w:styleId="WW8Num205z0">
    <w:name w:val="WW8Num205z0"/>
    <w:qFormat/>
    <w:rPr>
      <w:rFonts w:ascii="Symbol" w:hAnsi="Symbol" w:cs="Symbol"/>
    </w:rPr>
  </w:style>
  <w:style w:type="character" w:styleId="WW8Num206z0">
    <w:name w:val="WW8Num206z0"/>
    <w:qFormat/>
    <w:rPr>
      <w:rFonts w:ascii="Symbol" w:hAnsi="Symbol" w:cs="Symbol"/>
      <w:sz w:val="20"/>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Wingdings" w:hAnsi="Wingdings" w:cs="Wingdings"/>
    </w:rPr>
  </w:style>
  <w:style w:type="character" w:styleId="WW8Num212z0">
    <w:name w:val="WW8Num212z0"/>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style>
  <w:style w:type="character" w:styleId="WW8Num215z0">
    <w:name w:val="WW8Num215z0"/>
    <w:qFormat/>
    <w:rPr>
      <w:rFonts w:ascii="Wingdings" w:hAnsi="Wingdings" w:cs="Wingdings"/>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sz w:val="12"/>
    </w:rPr>
  </w:style>
  <w:style w:type="character" w:styleId="WW8Num220z0">
    <w:name w:val="WW8Num220z0"/>
    <w:qFormat/>
    <w:rPr>
      <w:rFonts w:ascii="Wingdings" w:hAnsi="Wingdings" w:cs="Wingdings"/>
    </w:rPr>
  </w:style>
  <w:style w:type="character" w:styleId="WW8Num221z0">
    <w:name w:val="WW8Num221z0"/>
    <w:qFormat/>
    <w:rPr/>
  </w:style>
  <w:style w:type="character" w:styleId="WW8Num222z0">
    <w:name w:val="WW8Num222z0"/>
    <w:qFormat/>
    <w:rPr>
      <w:rFonts w:ascii="Symbol" w:hAnsi="Symbol" w:cs="Symbol"/>
      <w:sz w:val="12"/>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Wingdings" w:hAnsi="Wingdings" w:cs="Wingdings"/>
      <w:sz w:val="14"/>
    </w:rPr>
  </w:style>
  <w:style w:type="character" w:styleId="WW8Num227z0">
    <w:name w:val="WW8Num227z0"/>
    <w:qFormat/>
    <w:rPr/>
  </w:style>
  <w:style w:type="character" w:styleId="WW8Num228z0">
    <w:name w:val="WW8Num228z0"/>
    <w:qFormat/>
    <w:rPr>
      <w:rFonts w:ascii="Symbol" w:hAnsi="Symbol" w:cs="Symbol"/>
      <w:color w:val="auto"/>
    </w:rPr>
  </w:style>
  <w:style w:type="character" w:styleId="WW8Num229z0">
    <w:name w:val="WW8Num229z0"/>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Wingdings" w:hAnsi="Wingdings" w:cs="Wingdings"/>
    </w:rPr>
  </w:style>
  <w:style w:type="character" w:styleId="WW8Num232z0">
    <w:name w:val="WW8Num232z0"/>
    <w:qFormat/>
    <w:rPr/>
  </w:style>
  <w:style w:type="character" w:styleId="WW8Num233z0">
    <w:name w:val="WW8Num233z0"/>
    <w:qFormat/>
    <w:rPr>
      <w:rFonts w:ascii="Wingdings" w:hAnsi="Wingdings" w:cs="Wingdings"/>
      <w:b/>
      <w:i w:val="false"/>
      <w:sz w:val="16"/>
    </w:rPr>
  </w:style>
  <w:style w:type="character" w:styleId="WW8Num234z0">
    <w:name w:val="WW8Num234z0"/>
    <w:qFormat/>
    <w:rPr>
      <w:rFonts w:ascii="Symbol" w:hAnsi="Symbol" w:cs="Symbol"/>
    </w:rPr>
  </w:style>
  <w:style w:type="character" w:styleId="WW8Num236z0">
    <w:name w:val="WW8Num236z0"/>
    <w:qFormat/>
    <w:rPr>
      <w:rFonts w:ascii="Symbol" w:hAnsi="Symbol" w:cs="Symbol"/>
      <w:sz w:val="20"/>
    </w:rPr>
  </w:style>
  <w:style w:type="character" w:styleId="WW8Num237z0">
    <w:name w:val="WW8Num237z0"/>
    <w:qFormat/>
    <w:rPr>
      <w:rFonts w:ascii="Symbol" w:hAnsi="Symbol" w:cs="Symbol"/>
    </w:rPr>
  </w:style>
  <w:style w:type="character" w:styleId="WW8Num238z0">
    <w:name w:val="WW8Num238z0"/>
    <w:qFormat/>
    <w:rPr>
      <w:rFonts w:ascii="Symbol" w:hAnsi="Symbol" w:cs="Symbol"/>
      <w:color w:val="auto"/>
    </w:rPr>
  </w:style>
  <w:style w:type="character" w:styleId="WW8Num239z0">
    <w:name w:val="WW8Num239z0"/>
    <w:qFormat/>
    <w:rPr>
      <w:rFonts w:ascii="Wingdings" w:hAnsi="Wingdings" w:cs="Wingdings"/>
    </w:rPr>
  </w:style>
  <w:style w:type="character" w:styleId="WW8Num240z0">
    <w:name w:val="WW8Num240z0"/>
    <w:qFormat/>
    <w:rPr>
      <w:rFonts w:ascii="Wingdings" w:hAnsi="Wingdings" w:cs="Wingdings"/>
    </w:rPr>
  </w:style>
  <w:style w:type="character" w:styleId="WW8Num241z0">
    <w:name w:val="WW8Num241z0"/>
    <w:qFormat/>
    <w:rPr>
      <w:rFonts w:ascii="Wingdings" w:hAnsi="Wingdings" w:cs="Wingdings"/>
    </w:rPr>
  </w:style>
  <w:style w:type="character" w:styleId="WW8Num242z0">
    <w:name w:val="WW8Num242z0"/>
    <w:qFormat/>
    <w:rPr>
      <w:rFonts w:ascii="Symbol" w:hAnsi="Symbol" w:cs="Symbol"/>
      <w:sz w:val="20"/>
    </w:rPr>
  </w:style>
  <w:style w:type="character" w:styleId="WW8Num243z0">
    <w:name w:val="WW8Num243z0"/>
    <w:qFormat/>
    <w:rPr>
      <w:rFonts w:ascii="Wingdings" w:hAnsi="Wingdings" w:cs="Wingdings"/>
    </w:rPr>
  </w:style>
  <w:style w:type="character" w:styleId="WW8Num244z0">
    <w:name w:val="WW8Num244z0"/>
    <w:qFormat/>
    <w:rPr>
      <w:rFonts w:ascii="Symbol" w:hAnsi="Symbol" w:cs="Symbol"/>
      <w:sz w:val="20"/>
    </w:rPr>
  </w:style>
  <w:style w:type="character" w:styleId="WW8Num245z0">
    <w:name w:val="WW8Num245z0"/>
    <w:qFormat/>
    <w:rPr>
      <w:rFonts w:ascii="Symbol" w:hAnsi="Symbol" w:cs="Symbol"/>
      <w:color w:val="auto"/>
      <w:sz w:val="28"/>
    </w:rPr>
  </w:style>
  <w:style w:type="character" w:styleId="WW8Num246z0">
    <w:name w:val="WW8Num246z0"/>
    <w:qFormat/>
    <w:rPr>
      <w:rFonts w:ascii="Symbol" w:hAnsi="Symbol" w:cs="Symbol"/>
      <w:sz w:val="12"/>
    </w:rPr>
  </w:style>
  <w:style w:type="character" w:styleId="WW8Num247z0">
    <w:name w:val="WW8Num247z0"/>
    <w:qFormat/>
    <w:rPr>
      <w:rFonts w:ascii="Symbol" w:hAnsi="Symbol" w:cs="Symbol"/>
      <w:color w:val="auto"/>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rFonts w:ascii="Wingdings" w:hAnsi="Wingdings" w:cs="Wingdings"/>
    </w:rPr>
  </w:style>
  <w:style w:type="character" w:styleId="WW8Num252z0">
    <w:name w:val="WW8Num252z0"/>
    <w:qFormat/>
    <w:rPr>
      <w:rFonts w:ascii="Symbol" w:hAnsi="Symbol" w:cs="Symbol"/>
      <w:color w:val="auto"/>
    </w:rPr>
  </w:style>
  <w:style w:type="character" w:styleId="WW8Num253z0">
    <w:name w:val="WW8Num253z0"/>
    <w:qFormat/>
    <w:rPr>
      <w:rFonts w:ascii="Symbol" w:hAnsi="Symbol" w:cs="Symbol"/>
    </w:rPr>
  </w:style>
  <w:style w:type="character" w:styleId="WW8Num254z0">
    <w:name w:val="WW8Num254z0"/>
    <w:qFormat/>
    <w:rPr>
      <w:rFonts w:ascii="Times New Roman" w:hAnsi="Times New Roman" w:cs="Times New Roman"/>
      <w:b w:val="false"/>
      <w:i/>
      <w:sz w:val="18"/>
    </w:rPr>
  </w:style>
  <w:style w:type="character" w:styleId="WW8Num255z0">
    <w:name w:val="WW8Num255z0"/>
    <w:qFormat/>
    <w:rPr>
      <w:rFonts w:ascii="Symbol" w:hAnsi="Symbol" w:cs="Symbol"/>
    </w:rPr>
  </w:style>
  <w:style w:type="character" w:styleId="WW8Num256z0">
    <w:name w:val="WW8Num256z0"/>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Wingdings" w:hAnsi="Wingdings" w:cs="Wingdings"/>
    </w:rPr>
  </w:style>
  <w:style w:type="character" w:styleId="WW8Num260z0">
    <w:name w:val="WW8Num260z0"/>
    <w:qFormat/>
    <w:rPr>
      <w:rFonts w:ascii="Wingdings" w:hAnsi="Wingdings" w:cs="Wingdings"/>
    </w:rPr>
  </w:style>
  <w:style w:type="character" w:styleId="WW8Num261z0">
    <w:name w:val="WW8Num261z0"/>
    <w:qFormat/>
    <w:rPr>
      <w:rFonts w:ascii="Symbol" w:hAnsi="Symbol" w:cs="Symbol"/>
      <w:color w:val="auto"/>
      <w:sz w:val="28"/>
    </w:rPr>
  </w:style>
  <w:style w:type="character" w:styleId="WW8Num262z0">
    <w:name w:val="WW8Num262z0"/>
    <w:qFormat/>
    <w:rPr>
      <w:rFonts w:ascii="Wingdings" w:hAnsi="Wingdings" w:cs="Wingdings"/>
      <w:sz w:val="18"/>
    </w:rPr>
  </w:style>
  <w:style w:type="character" w:styleId="WW8Num263z0">
    <w:name w:val="WW8Num263z0"/>
    <w:qFormat/>
    <w:rPr>
      <w:rFonts w:ascii="Symbol" w:hAnsi="Symbol" w:cs="Symbol"/>
    </w:rPr>
  </w:style>
  <w:style w:type="character" w:styleId="WW8Num264z0">
    <w:name w:val="WW8Num264z0"/>
    <w:qFormat/>
    <w:rPr>
      <w:rFonts w:ascii="Marlett" w:hAnsi="Marlett" w:cs="Monotype Sorts"/>
    </w:rPr>
  </w:style>
  <w:style w:type="character" w:styleId="WW8Num265z0">
    <w:name w:val="WW8Num265z0"/>
    <w:qFormat/>
    <w:rPr>
      <w:rFonts w:ascii="Symbol" w:hAnsi="Symbol" w:cs="Symbol"/>
      <w:sz w:val="20"/>
    </w:rPr>
  </w:style>
  <w:style w:type="character" w:styleId="WW8Num266z0">
    <w:name w:val="WW8Num266z0"/>
    <w:qFormat/>
    <w:rPr>
      <w:rFonts w:ascii="Symbol" w:hAnsi="Symbol" w:cs="Symbol"/>
      <w:color w:val="auto"/>
      <w:sz w:val="28"/>
    </w:rPr>
  </w:style>
  <w:style w:type="character" w:styleId="WW8Num267z0">
    <w:name w:val="WW8Num267z0"/>
    <w:qFormat/>
    <w:rPr/>
  </w:style>
  <w:style w:type="character" w:styleId="WW8Num268z0">
    <w:name w:val="WW8Num268z0"/>
    <w:qFormat/>
    <w:rPr>
      <w:rFonts w:ascii="Symbol" w:hAnsi="Symbol" w:cs="Symbol"/>
      <w:sz w:val="20"/>
    </w:rPr>
  </w:style>
  <w:style w:type="character" w:styleId="WW8Num269z0">
    <w:name w:val="WW8Num269z0"/>
    <w:qFormat/>
    <w:rPr/>
  </w:style>
  <w:style w:type="character" w:styleId="WW8Num270z0">
    <w:name w:val="WW8Num270z0"/>
    <w:qFormat/>
    <w:rPr>
      <w:rFonts w:ascii="Wingdings" w:hAnsi="Wingdings" w:cs="Wingdings"/>
    </w:rPr>
  </w:style>
  <w:style w:type="character" w:styleId="WW8Num271z0">
    <w:name w:val="WW8Num271z0"/>
    <w:qFormat/>
    <w:rPr>
      <w:rFonts w:ascii="Arial" w:hAnsi="Arial" w:cs="Arial"/>
      <w:b w:val="false"/>
      <w:i w:val="false"/>
      <w:sz w:val="26"/>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style>
  <w:style w:type="character" w:styleId="WW8Num275z0">
    <w:name w:val="WW8Num275z0"/>
    <w:qFormat/>
    <w:rPr>
      <w:rFonts w:ascii="Wingdings" w:hAnsi="Wingdings" w:cs="Wingdings"/>
    </w:rPr>
  </w:style>
  <w:style w:type="character" w:styleId="WW8Num276z0">
    <w:name w:val="WW8Num276z0"/>
    <w:qFormat/>
    <w:rPr>
      <w:rFonts w:ascii="Symbol" w:hAnsi="Symbol" w:cs="Symbol"/>
    </w:rPr>
  </w:style>
  <w:style w:type="character" w:styleId="WW8Num277z0">
    <w:name w:val="WW8Num277z0"/>
    <w:qFormat/>
    <w:rPr>
      <w:rFonts w:ascii="Symbol" w:hAnsi="Symbol" w:cs="Symbol"/>
      <w:color w:val="auto"/>
    </w:rPr>
  </w:style>
  <w:style w:type="character" w:styleId="WW8Num278z0">
    <w:name w:val="WW8Num278z0"/>
    <w:qFormat/>
    <w:rPr>
      <w:rFonts w:ascii="Symbol" w:hAnsi="Symbol" w:cs="Symbol"/>
      <w:sz w:val="12"/>
    </w:rPr>
  </w:style>
  <w:style w:type="character" w:styleId="WW8Num279z0">
    <w:name w:val="WW8Num279z0"/>
    <w:qFormat/>
    <w:rPr>
      <w:rFonts w:ascii="Symbol" w:hAnsi="Symbol" w:cs="Symbol"/>
      <w:color w:val="auto"/>
      <w:sz w:val="28"/>
    </w:rPr>
  </w:style>
  <w:style w:type="character" w:styleId="WW8Num280z0">
    <w:name w:val="WW8Num280z0"/>
    <w:qFormat/>
    <w:rPr>
      <w:rFonts w:ascii="Symbol" w:hAnsi="Symbol" w:cs="Symbol"/>
    </w:rPr>
  </w:style>
  <w:style w:type="character" w:styleId="WW8Num281z0">
    <w:name w:val="WW8Num281z0"/>
    <w:qFormat/>
    <w:rPr>
      <w:rFonts w:ascii="Symbol" w:hAnsi="Symbol" w:cs="Symbol"/>
      <w:color w:val="auto"/>
    </w:rPr>
  </w:style>
  <w:style w:type="character" w:styleId="WW8Num282z0">
    <w:name w:val="WW8Num282z0"/>
    <w:qFormat/>
    <w:rPr>
      <w:rFonts w:ascii="Wingdings" w:hAnsi="Wingdings" w:cs="Wingdings"/>
      <w:sz w:val="14"/>
    </w:rPr>
  </w:style>
  <w:style w:type="character" w:styleId="WW8Num285z0">
    <w:name w:val="WW8Num285z0"/>
    <w:qFormat/>
    <w:rPr>
      <w:rFonts w:ascii="Symbol" w:hAnsi="Symbol" w:cs="Symbol"/>
      <w:b/>
      <w:i w:val="false"/>
      <w:sz w:val="12"/>
    </w:rPr>
  </w:style>
  <w:style w:type="character" w:styleId="WW8Num286z0">
    <w:name w:val="WW8Num286z0"/>
    <w:qFormat/>
    <w:rPr>
      <w:rFonts w:ascii="Symbol" w:hAnsi="Symbol" w:cs="Symbol"/>
      <w:color w:val="auto"/>
      <w:sz w:val="28"/>
    </w:rPr>
  </w:style>
  <w:style w:type="character" w:styleId="WW8Num288z0">
    <w:name w:val="WW8Num288z0"/>
    <w:qFormat/>
    <w:rPr>
      <w:rFonts w:ascii="Symbol" w:hAnsi="Symbol" w:cs="Symbol"/>
    </w:rPr>
  </w:style>
  <w:style w:type="character" w:styleId="WW8Num289z0">
    <w:name w:val="WW8Num289z0"/>
    <w:qFormat/>
    <w:rPr>
      <w:rFonts w:ascii="Wingdings" w:hAnsi="Wingdings" w:cs="Wingdings"/>
      <w:sz w:val="16"/>
    </w:rPr>
  </w:style>
  <w:style w:type="character" w:styleId="WW8Num290z0">
    <w:name w:val="WW8Num290z0"/>
    <w:qFormat/>
    <w:rPr>
      <w:rFonts w:ascii="Symbol" w:hAnsi="Symbol" w:cs="Symbol"/>
    </w:rPr>
  </w:style>
  <w:style w:type="character" w:styleId="WW8Num291z0">
    <w:name w:val="WW8Num291z0"/>
    <w:qFormat/>
    <w:rPr>
      <w:rFonts w:ascii="Wingdings" w:hAnsi="Wingdings" w:cs="Wingdings"/>
    </w:rPr>
  </w:style>
  <w:style w:type="character" w:styleId="WW8Num292z0">
    <w:name w:val="WW8Num292z0"/>
    <w:qFormat/>
    <w:rPr>
      <w:rFonts w:ascii="Wingdings" w:hAnsi="Wingdings" w:cs="Wingdings"/>
      <w:sz w:val="14"/>
    </w:rPr>
  </w:style>
  <w:style w:type="character" w:styleId="WW8Num293z0">
    <w:name w:val="WW8Num293z0"/>
    <w:qFormat/>
    <w:rPr>
      <w:rFonts w:ascii="Symbol" w:hAnsi="Symbol" w:cs="Symbol"/>
    </w:rPr>
  </w:style>
  <w:style w:type="character" w:styleId="WW8Num294z0">
    <w:name w:val="WW8Num294z0"/>
    <w:qFormat/>
    <w:rPr>
      <w:rFonts w:ascii="Wingdings 3;Symbol" w:hAnsi="Wingdings 3;Symbol" w:cs="Arial Black"/>
      <w:sz w:val="18"/>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rFonts w:ascii="Symbol" w:hAnsi="Symbol" w:cs="Symbol"/>
    </w:rPr>
  </w:style>
  <w:style w:type="character" w:styleId="WW8Num298z0">
    <w:name w:val="WW8Num298z0"/>
    <w:qFormat/>
    <w:rPr>
      <w:rFonts w:ascii="Wingdings" w:hAnsi="Wingdings" w:cs="Wingdings"/>
    </w:rPr>
  </w:style>
  <w:style w:type="character" w:styleId="WW8Num299z0">
    <w:name w:val="WW8Num299z0"/>
    <w:qFormat/>
    <w:rPr>
      <w:rFonts w:ascii="Symbol" w:hAnsi="Symbol" w:cs="Symbol"/>
      <w:color w:val="auto"/>
      <w:sz w:val="28"/>
    </w:rPr>
  </w:style>
  <w:style w:type="character" w:styleId="WW8Num300z0">
    <w:name w:val="WW8Num300z0"/>
    <w:qFormat/>
    <w:rPr>
      <w:rFonts w:ascii="Symbol" w:hAnsi="Symbol" w:cs="Symbol"/>
      <w:color w:val="auto"/>
      <w:sz w:val="28"/>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Wingdings" w:hAnsi="Wingdings" w:cs="Wingdings"/>
    </w:rPr>
  </w:style>
  <w:style w:type="character" w:styleId="WW8Num308z0">
    <w:name w:val="WW8Num308z0"/>
    <w:qFormat/>
    <w:rPr/>
  </w:style>
  <w:style w:type="character" w:styleId="WW8Num309z0">
    <w:name w:val="WW8Num309z0"/>
    <w:qFormat/>
    <w:rPr>
      <w:rFonts w:ascii="Wingdings" w:hAnsi="Wingdings" w:cs="Wingdings"/>
    </w:rPr>
  </w:style>
  <w:style w:type="character" w:styleId="WW8Num310z0">
    <w:name w:val="WW8Num310z0"/>
    <w:qFormat/>
    <w:rPr>
      <w:rFonts w:ascii="Symbol" w:hAnsi="Symbol" w:cs="Symbol"/>
      <w:sz w:val="20"/>
    </w:rPr>
  </w:style>
  <w:style w:type="character" w:styleId="WW8Num311z0">
    <w:name w:val="WW8Num311z0"/>
    <w:qFormat/>
    <w:rPr/>
  </w:style>
  <w:style w:type="character" w:styleId="WW8Num312z0">
    <w:name w:val="WW8Num312z0"/>
    <w:qFormat/>
    <w:rPr>
      <w:rFonts w:ascii="Wingdings 3;Symbol" w:hAnsi="Wingdings 3;Symbol" w:cs="Wingdings 2;Symbol"/>
      <w:sz w:val="16"/>
    </w:rPr>
  </w:style>
  <w:style w:type="character" w:styleId="WW8Num313z0">
    <w:name w:val="WW8Num313z0"/>
    <w:qFormat/>
    <w:rPr>
      <w:rFonts w:ascii="Symbol" w:hAnsi="Symbol" w:cs="Symbol"/>
      <w:color w:val="auto"/>
    </w:rPr>
  </w:style>
  <w:style w:type="character" w:styleId="WW8Num314z0">
    <w:name w:val="WW8Num314z0"/>
    <w:qFormat/>
    <w:rPr>
      <w:rFonts w:ascii="Symbol" w:hAnsi="Symbol" w:cs="Symbol"/>
      <w:sz w:val="20"/>
    </w:rPr>
  </w:style>
  <w:style w:type="character" w:styleId="WW8Num315z0">
    <w:name w:val="WW8Num315z0"/>
    <w:qFormat/>
    <w:rPr/>
  </w:style>
  <w:style w:type="character" w:styleId="WW8Num316z0">
    <w:name w:val="WW8Num316z0"/>
    <w:qFormat/>
    <w:rPr>
      <w:rFonts w:ascii="Wingdings" w:hAnsi="Wingdings" w:cs="Wingdings"/>
    </w:rPr>
  </w:style>
  <w:style w:type="character" w:styleId="WW8Num317z0">
    <w:name w:val="WW8Num317z0"/>
    <w:qFormat/>
    <w:rPr>
      <w:rFonts w:ascii="Symbol" w:hAnsi="Symbol" w:cs="Symbol"/>
    </w:rPr>
  </w:style>
  <w:style w:type="character" w:styleId="WW8Num318z0">
    <w:name w:val="WW8Num318z0"/>
    <w:qFormat/>
    <w:rPr>
      <w:rFonts w:ascii="Times New Roman" w:hAnsi="Times New Roman" w:cs="Times New Roman"/>
      <w:b w:val="false"/>
      <w:i w:val="false"/>
      <w:sz w:val="20"/>
      <w:u w:val="none"/>
    </w:rPr>
  </w:style>
  <w:style w:type="character" w:styleId="WW8Num319z0">
    <w:name w:val="WW8Num319z0"/>
    <w:qFormat/>
    <w:rPr>
      <w:rFonts w:ascii="Wingdings" w:hAnsi="Wingdings" w:cs="Wingdings"/>
    </w:rPr>
  </w:style>
  <w:style w:type="character" w:styleId="WW8Num320z0">
    <w:name w:val="WW8Num320z0"/>
    <w:qFormat/>
    <w:rPr/>
  </w:style>
  <w:style w:type="character" w:styleId="WW8Num321z0">
    <w:name w:val="WW8Num321z0"/>
    <w:qFormat/>
    <w:rPr>
      <w:rFonts w:ascii="Symbol" w:hAnsi="Symbol" w:cs="Symbol"/>
    </w:rPr>
  </w:style>
  <w:style w:type="character" w:styleId="WW8Num322z0">
    <w:name w:val="WW8Num322z0"/>
    <w:qFormat/>
    <w:rPr>
      <w:rFonts w:ascii="Wingdings" w:hAnsi="Wingdings" w:cs="Wingdings"/>
      <w:b/>
      <w:i w:val="false"/>
      <w:sz w:val="16"/>
    </w:rPr>
  </w:style>
  <w:style w:type="character" w:styleId="WW8Num323z0">
    <w:name w:val="WW8Num323z0"/>
    <w:qFormat/>
    <w:rPr>
      <w:rFonts w:ascii="Symbol" w:hAnsi="Symbol" w:cs="Symbol"/>
      <w:sz w:val="20"/>
    </w:rPr>
  </w:style>
  <w:style w:type="character" w:styleId="WW8Num324z0">
    <w:name w:val="WW8Num324z0"/>
    <w:qFormat/>
    <w:rPr/>
  </w:style>
  <w:style w:type="character" w:styleId="WW8Num325z0">
    <w:name w:val="WW8Num325z0"/>
    <w:qFormat/>
    <w:rPr/>
  </w:style>
  <w:style w:type="character" w:styleId="WW8Num326z0">
    <w:name w:val="WW8Num326z0"/>
    <w:qFormat/>
    <w:rPr>
      <w:rFonts w:ascii="Arial" w:hAnsi="Arial" w:cs="Arial"/>
      <w:b w:val="false"/>
      <w:i w:val="false"/>
      <w:sz w:val="26"/>
    </w:rPr>
  </w:style>
  <w:style w:type="character" w:styleId="WW8Num327z0">
    <w:name w:val="WW8Num327z0"/>
    <w:qFormat/>
    <w:rPr>
      <w:rFonts w:ascii="Symbol" w:hAnsi="Symbol" w:cs="Symbol"/>
    </w:rPr>
  </w:style>
  <w:style w:type="character" w:styleId="WW8Num328z0">
    <w:name w:val="WW8Num328z0"/>
    <w:qFormat/>
    <w:rPr>
      <w:rFonts w:ascii="Symbol" w:hAnsi="Symbol" w:cs="Symbol"/>
      <w:color w:val="auto"/>
      <w:sz w:val="28"/>
    </w:rPr>
  </w:style>
  <w:style w:type="character" w:styleId="WW8Num329z0">
    <w:name w:val="WW8Num329z0"/>
    <w:qFormat/>
    <w:rPr/>
  </w:style>
  <w:style w:type="character" w:styleId="WW8Num330z0">
    <w:name w:val="WW8Num330z0"/>
    <w:qFormat/>
    <w:rPr>
      <w:b w:val="false"/>
      <w:i/>
    </w:rPr>
  </w:style>
  <w:style w:type="character" w:styleId="WW8Num332z0">
    <w:name w:val="WW8Num332z0"/>
    <w:qFormat/>
    <w:rPr>
      <w:rFonts w:ascii="Wingdings" w:hAnsi="Wingdings" w:cs="Wingdings"/>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sz w:val="20"/>
    </w:rPr>
  </w:style>
  <w:style w:type="character" w:styleId="WW8Num336z0">
    <w:name w:val="WW8Num336z0"/>
    <w:qFormat/>
    <w:rPr>
      <w:rFonts w:ascii="Symbol" w:hAnsi="Symbol" w:cs="Symbol"/>
    </w:rPr>
  </w:style>
  <w:style w:type="character" w:styleId="WW8Num337z0">
    <w:name w:val="WW8Num337z0"/>
    <w:qFormat/>
    <w:rPr>
      <w:rFonts w:ascii="Symbol" w:hAnsi="Symbol" w:cs="Symbol"/>
      <w:sz w:val="12"/>
    </w:rPr>
  </w:style>
  <w:style w:type="character" w:styleId="WW8Num338z0">
    <w:name w:val="WW8Num338z0"/>
    <w:qFormat/>
    <w:rPr>
      <w:rFonts w:ascii="Symbol" w:hAnsi="Symbol" w:cs="Symbol"/>
      <w:color w:val="auto"/>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Wingdings" w:hAnsi="Wingdings" w:cs="Wingdings"/>
    </w:rPr>
  </w:style>
  <w:style w:type="character" w:styleId="WW8Num344z0">
    <w:name w:val="WW8Num344z0"/>
    <w:qFormat/>
    <w:rPr>
      <w:rFonts w:ascii="Symbol" w:hAnsi="Symbol" w:cs="Symbol"/>
      <w:sz w:val="12"/>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9z0">
    <w:name w:val="WW8Num349z0"/>
    <w:qFormat/>
    <w:rPr>
      <w:rFonts w:ascii="Wingdings" w:hAnsi="Wingdings" w:cs="Wingdings"/>
    </w:rPr>
  </w:style>
  <w:style w:type="character" w:styleId="WW8Num350z0">
    <w:name w:val="WW8Num350z0"/>
    <w:qFormat/>
    <w:rPr>
      <w:rFonts w:ascii="Symbol" w:hAnsi="Symbol" w:cs="Symbol"/>
      <w:color w:val="auto"/>
    </w:rPr>
  </w:style>
  <w:style w:type="character" w:styleId="WW8Num351z0">
    <w:name w:val="WW8Num351z0"/>
    <w:qFormat/>
    <w:rPr>
      <w:rFonts w:ascii="Symbol" w:hAnsi="Symbol" w:cs="Symbol"/>
      <w:sz w:val="12"/>
    </w:rPr>
  </w:style>
  <w:style w:type="character" w:styleId="WW8Num352z0">
    <w:name w:val="WW8Num352z0"/>
    <w:qFormat/>
    <w:rPr>
      <w:rFonts w:ascii="Symbol" w:hAnsi="Symbol" w:cs="Symbol"/>
    </w:rPr>
  </w:style>
  <w:style w:type="character" w:styleId="WW8Num353z0">
    <w:name w:val="WW8Num353z0"/>
    <w:qFormat/>
    <w:rPr/>
  </w:style>
  <w:style w:type="character" w:styleId="WW8Num354z0">
    <w:name w:val="WW8Num354z0"/>
    <w:qFormat/>
    <w:rPr>
      <w:rFonts w:ascii="Wingdings" w:hAnsi="Wingdings" w:cs="Wingdings"/>
      <w:sz w:val="14"/>
    </w:rPr>
  </w:style>
  <w:style w:type="character" w:styleId="WW8Num355z0">
    <w:name w:val="WW8Num355z0"/>
    <w:qFormat/>
    <w:rPr>
      <w:rFonts w:ascii="Symbol" w:hAnsi="Symbol" w:cs="Symbol"/>
    </w:rPr>
  </w:style>
  <w:style w:type="character" w:styleId="WW8Num356z0">
    <w:name w:val="WW8Num356z0"/>
    <w:qFormat/>
    <w:rPr>
      <w:rFonts w:ascii="Wingdings" w:hAnsi="Wingdings" w:cs="Wingdings"/>
      <w:sz w:val="14"/>
    </w:rPr>
  </w:style>
  <w:style w:type="character" w:styleId="WW8Num357z0">
    <w:name w:val="WW8Num357z0"/>
    <w:qFormat/>
    <w:rPr>
      <w:rFonts w:ascii="Wingdings" w:hAnsi="Wingdings" w:cs="Wingdings"/>
    </w:rPr>
  </w:style>
  <w:style w:type="character" w:styleId="WW8Num358z0">
    <w:name w:val="WW8Num358z0"/>
    <w:qFormat/>
    <w:rPr/>
  </w:style>
  <w:style w:type="character" w:styleId="WW8Num359z0">
    <w:name w:val="WW8Num359z0"/>
    <w:qFormat/>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Wingdings" w:hAnsi="Wingdings" w:cs="Wingdings"/>
    </w:rPr>
  </w:style>
  <w:style w:type="character" w:styleId="WW8Num363z0">
    <w:name w:val="WW8Num363z0"/>
    <w:qFormat/>
    <w:rPr>
      <w:rFonts w:ascii="Symbol" w:hAnsi="Symbol" w:cs="Symbol"/>
      <w:color w:val="auto"/>
    </w:rPr>
  </w:style>
  <w:style w:type="character" w:styleId="WW8Num364z0">
    <w:name w:val="WW8Num364z0"/>
    <w:qFormat/>
    <w:rPr>
      <w:rFonts w:ascii="Symbol" w:hAnsi="Symbol" w:cs="Symbol"/>
    </w:rPr>
  </w:style>
  <w:style w:type="character" w:styleId="WW8Num365z0">
    <w:name w:val="WW8Num365z0"/>
    <w:qFormat/>
    <w:rPr>
      <w:rFonts w:ascii="Symbol" w:hAnsi="Symbol" w:cs="Symbol"/>
      <w:color w:val="auto"/>
    </w:rPr>
  </w:style>
  <w:style w:type="character" w:styleId="WW8Num366z0">
    <w:name w:val="WW8Num366z0"/>
    <w:qFormat/>
    <w:rPr>
      <w:rFonts w:ascii="Symbol" w:hAnsi="Symbol" w:cs="Symbol"/>
    </w:rPr>
  </w:style>
  <w:style w:type="character" w:styleId="WW8Num367z0">
    <w:name w:val="WW8Num367z0"/>
    <w:qFormat/>
    <w:rPr/>
  </w:style>
  <w:style w:type="character" w:styleId="WW8Num368z0">
    <w:name w:val="WW8Num368z0"/>
    <w:qFormat/>
    <w:rPr>
      <w:rFonts w:ascii="Wingdings" w:hAnsi="Wingdings" w:cs="Wingdings"/>
      <w:sz w:val="20"/>
    </w:rPr>
  </w:style>
  <w:style w:type="character" w:styleId="WW8Num369z0">
    <w:name w:val="WW8Num369z0"/>
    <w:qFormat/>
    <w:rPr>
      <w:rFonts w:ascii="Symbol" w:hAnsi="Symbol" w:cs="Symbol"/>
      <w:color w:val="auto"/>
    </w:rPr>
  </w:style>
  <w:style w:type="character" w:styleId="WW8Num370z0">
    <w:name w:val="WW8Num370z0"/>
    <w:qFormat/>
    <w:rPr/>
  </w:style>
  <w:style w:type="character" w:styleId="WW8Num371z0">
    <w:name w:val="WW8Num371z0"/>
    <w:qFormat/>
    <w:rPr/>
  </w:style>
  <w:style w:type="character" w:styleId="WW8Num372z0">
    <w:name w:val="WW8Num372z0"/>
    <w:qFormat/>
    <w:rPr>
      <w:rFonts w:ascii="Wingdings" w:hAnsi="Wingdings" w:cs="Wingdings"/>
    </w:rPr>
  </w:style>
  <w:style w:type="character" w:styleId="WW8Num373z0">
    <w:name w:val="WW8Num373z0"/>
    <w:qFormat/>
    <w:rPr>
      <w:rFonts w:ascii="Symbol" w:hAnsi="Symbol" w:cs="Symbol"/>
    </w:rPr>
  </w:style>
  <w:style w:type="character" w:styleId="WW8Num375z0">
    <w:name w:val="WW8Num375z0"/>
    <w:qFormat/>
    <w:rPr>
      <w:rFonts w:ascii="Symbol" w:hAnsi="Symbol" w:cs="Symbol"/>
      <w:color w:val="auto"/>
    </w:rPr>
  </w:style>
  <w:style w:type="character" w:styleId="WW8Num376z0">
    <w:name w:val="WW8Num376z0"/>
    <w:qFormat/>
    <w:rPr/>
  </w:style>
  <w:style w:type="character" w:styleId="WW8Num377z0">
    <w:name w:val="WW8Num377z0"/>
    <w:qFormat/>
    <w:rPr>
      <w:rFonts w:ascii="Times New Roman" w:hAnsi="Times New Roman" w:cs="Times New Roman"/>
      <w:sz w:val="14"/>
    </w:rPr>
  </w:style>
  <w:style w:type="character" w:styleId="WW8Num378z0">
    <w:name w:val="WW8Num378z0"/>
    <w:qFormat/>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Wingdings" w:hAnsi="Wingdings" w:cs="Wingdings"/>
    </w:rPr>
  </w:style>
  <w:style w:type="character" w:styleId="WW8Num382z0">
    <w:name w:val="WW8Num382z0"/>
    <w:qFormat/>
    <w:rPr>
      <w:rFonts w:ascii="Symbol" w:hAnsi="Symbol" w:cs="Symbol"/>
      <w:color w:val="auto"/>
    </w:rPr>
  </w:style>
  <w:style w:type="character" w:styleId="WW8Num383z0">
    <w:name w:val="WW8Num383z0"/>
    <w:qFormat/>
    <w:rPr/>
  </w:style>
  <w:style w:type="character" w:styleId="WW8Num384z0">
    <w:name w:val="WW8Num384z0"/>
    <w:qFormat/>
    <w:rPr>
      <w:rFonts w:ascii="Wingdings" w:hAnsi="Wingdings" w:cs="Wingdings"/>
    </w:rPr>
  </w:style>
  <w:style w:type="character" w:styleId="WW8Num385z0">
    <w:name w:val="WW8Num385z0"/>
    <w:qFormat/>
    <w:rPr>
      <w:rFonts w:ascii="Wingdings" w:hAnsi="Wingdings" w:cs="Wingdings"/>
    </w:rPr>
  </w:style>
  <w:style w:type="character" w:styleId="WW8Num386z0">
    <w:name w:val="WW8Num386z0"/>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Symbol" w:hAnsi="Symbol" w:cs="Symbol"/>
      <w:color w:val="auto"/>
    </w:rPr>
  </w:style>
  <w:style w:type="character" w:styleId="WW8Num389z0">
    <w:name w:val="WW8Num389z0"/>
    <w:qFormat/>
    <w:rPr/>
  </w:style>
  <w:style w:type="character" w:styleId="WW8Num390z0">
    <w:name w:val="WW8Num390z0"/>
    <w:qFormat/>
    <w:rPr>
      <w:rFonts w:ascii="Wingdings" w:hAnsi="Wingdings" w:cs="Wingdings"/>
    </w:rPr>
  </w:style>
  <w:style w:type="character" w:styleId="WW8Num391z0">
    <w:name w:val="WW8Num391z0"/>
    <w:qFormat/>
    <w:rPr/>
  </w:style>
  <w:style w:type="character" w:styleId="WW8Num392z0">
    <w:name w:val="WW8Num392z0"/>
    <w:qFormat/>
    <w:rPr>
      <w:rFonts w:ascii="Wingdings" w:hAnsi="Wingdings" w:cs="Wingdings"/>
      <w:sz w:val="14"/>
    </w:rPr>
  </w:style>
  <w:style w:type="character" w:styleId="WW8Num393z0">
    <w:name w:val="WW8Num393z0"/>
    <w:qFormat/>
    <w:rPr>
      <w:rFonts w:ascii="Symbol" w:hAnsi="Symbol" w:cs="Symbol"/>
      <w:sz w:val="20"/>
    </w:rPr>
  </w:style>
  <w:style w:type="character" w:styleId="WW8Num394z0">
    <w:name w:val="WW8Num394z0"/>
    <w:qFormat/>
    <w:rPr>
      <w:rFonts w:ascii="Symbol" w:hAnsi="Symbol" w:cs="Symbol"/>
    </w:rPr>
  </w:style>
  <w:style w:type="character" w:styleId="WW8Num395z0">
    <w:name w:val="WW8Num395z0"/>
    <w:qFormat/>
    <w:rPr>
      <w:rFonts w:ascii="Times New Roman" w:hAnsi="Times New Roman" w:cs="Times New Roman"/>
    </w:rPr>
  </w:style>
  <w:style w:type="character" w:styleId="WW8Num397z0">
    <w:name w:val="WW8Num397z0"/>
    <w:qFormat/>
    <w:rPr>
      <w:rFonts w:ascii="Symbol" w:hAnsi="Symbol" w:cs="Symbol"/>
    </w:rPr>
  </w:style>
  <w:style w:type="character" w:styleId="WW8Num400z0">
    <w:name w:val="WW8Num400z0"/>
    <w:qFormat/>
    <w:rPr>
      <w:rFonts w:ascii="Symbol" w:hAnsi="Symbol" w:cs="Symbol"/>
      <w:color w:val="auto"/>
    </w:rPr>
  </w:style>
  <w:style w:type="character" w:styleId="WW8Num401z0">
    <w:name w:val="WW8Num401z0"/>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sz w:val="12"/>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7z0">
    <w:name w:val="WW8Num407z0"/>
    <w:qFormat/>
    <w:rPr>
      <w:rFonts w:ascii="Symbol" w:hAnsi="Symbol" w:cs="Symbol"/>
      <w:color w:val="auto"/>
    </w:rPr>
  </w:style>
  <w:style w:type="character" w:styleId="WW8Num408z0">
    <w:name w:val="WW8Num408z0"/>
    <w:qFormat/>
    <w:rPr/>
  </w:style>
  <w:style w:type="character" w:styleId="WW8Num409z0">
    <w:name w:val="WW8Num409z0"/>
    <w:qFormat/>
    <w:rPr>
      <w:rFonts w:ascii="Symbol" w:hAnsi="Symbol" w:cs="Symbol"/>
      <w:color w:val="auto"/>
      <w:sz w:val="28"/>
    </w:rPr>
  </w:style>
  <w:style w:type="character" w:styleId="WW8Num410z0">
    <w:name w:val="WW8Num410z0"/>
    <w:qFormat/>
    <w:rPr>
      <w:rFonts w:ascii="Wingdings" w:hAnsi="Wingdings" w:cs="Wingdings"/>
      <w:sz w:val="24"/>
    </w:rPr>
  </w:style>
  <w:style w:type="character" w:styleId="WW8Num411z0">
    <w:name w:val="WW8Num411z0"/>
    <w:qFormat/>
    <w:rPr>
      <w:rFonts w:ascii="Wingdings" w:hAnsi="Wingdings" w:cs="Wingdings"/>
    </w:rPr>
  </w:style>
  <w:style w:type="character" w:styleId="WW8Num412z0">
    <w:name w:val="WW8Num412z0"/>
    <w:qFormat/>
    <w:rPr>
      <w:rFonts w:ascii="Symbol" w:hAnsi="Symbol" w:cs="Symbol"/>
      <w:color w:val="auto"/>
      <w:sz w:val="28"/>
    </w:rPr>
  </w:style>
  <w:style w:type="character" w:styleId="WW8Num413z0">
    <w:name w:val="WW8Num413z0"/>
    <w:qFormat/>
    <w:rPr>
      <w:rFonts w:ascii="Symbol" w:hAnsi="Symbol" w:cs="Symbol"/>
      <w:sz w:val="12"/>
    </w:rPr>
  </w:style>
  <w:style w:type="character" w:styleId="WW8Num414z0">
    <w:name w:val="WW8Num414z0"/>
    <w:qFormat/>
    <w:rPr>
      <w:rFonts w:ascii="Wingdings" w:hAnsi="Wingdings" w:cs="Wingdings"/>
    </w:rPr>
  </w:style>
  <w:style w:type="character" w:styleId="WW8Num415z0">
    <w:name w:val="WW8Num415z0"/>
    <w:qFormat/>
    <w:rPr>
      <w:rFonts w:ascii="Wingdings" w:hAnsi="Wingdings" w:cs="Wingdings"/>
    </w:rPr>
  </w:style>
  <w:style w:type="character" w:styleId="WW8NumSt205z0">
    <w:name w:val="WW8NumSt205z0"/>
    <w:qFormat/>
    <w:rPr>
      <w:rFonts w:ascii="Symbol" w:hAnsi="Symbol" w:cs="Symbol"/>
    </w:rPr>
  </w:style>
  <w:style w:type="character" w:styleId="WW8NumSt384z0">
    <w:name w:val="WW8NumSt384z0"/>
    <w:qFormat/>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spacing w:lineRule="auto" w:line="480"/>
      <w:jc w:val="center"/>
    </w:pPr>
    <w:rPr>
      <w:b/>
      <w:sz w:val="32"/>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0"/>
      <w:ind w:hanging="0" w:start="-274" w:end="0"/>
      <w:outlineLvl w:val="0"/>
    </w:pPr>
    <w:rPr>
      <w:b/>
      <w:smallCaps/>
      <w:sz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Indent">
    <w:name w:val="Body Text Indent"/>
    <w:basedOn w:val="Normal"/>
    <w:pPr>
      <w:ind w:firstLine="720" w:start="0" w:end="0"/>
      <w:jc w:val="both"/>
    </w:pPr>
    <w:rPr>
      <w:sz w:val="24"/>
    </w:rPr>
  </w:style>
  <w:style w:type="paragraph" w:styleId="BodyTextIndent2">
    <w:name w:val="Body Text Indent 2"/>
    <w:basedOn w:val="Normal"/>
    <w:qFormat/>
    <w:pPr>
      <w:ind w:firstLine="720" w:start="0" w:end="0"/>
    </w:pPr>
    <w:rPr>
      <w:sz w:val="24"/>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left" w:pos="7551" w:leader="dot"/>
      </w:tabs>
      <w:spacing w:before="120" w:after="120"/>
    </w:pPr>
    <w:rPr>
      <w:sz w:val="24"/>
      <w:lang w:val="en-CA" w:eastAsia="en-CA"/>
    </w:rPr>
  </w:style>
  <w:style w:type="paragraph" w:styleId="Body">
    <w:name w:val="Body"/>
    <w:basedOn w:val="Normal"/>
    <w:qFormat/>
    <w:pPr/>
    <w:rPr/>
  </w:style>
  <w:style w:type="paragraph" w:styleId="ParagraphHeading">
    <w:name w:val="ParagraphHeading"/>
    <w:basedOn w:val="Heading8"/>
    <w:qFormat/>
    <w:pPr>
      <w:numPr>
        <w:ilvl w:val="0"/>
        <w:numId w:val="0"/>
      </w:numPr>
      <w:spacing w:before="120" w:after="120"/>
      <w:jc w:val="both"/>
      <w:outlineLvl w:val="9"/>
    </w:pPr>
    <w:rPr>
      <w:smallCaps/>
      <w:sz w:val="24"/>
    </w:rPr>
  </w:style>
  <w:style w:type="paragraph" w:styleId="JustifiedBody">
    <w:name w:val="JustifiedBody"/>
    <w:basedOn w:val="Normal"/>
    <w:qFormat/>
    <w:pPr>
      <w:spacing w:before="0" w:after="120"/>
      <w:jc w:val="both"/>
    </w:pPr>
    <w:rPr>
      <w:sz w:val="22"/>
    </w:rPr>
  </w:style>
  <w:style w:type="paragraph" w:styleId="code">
    <w:name w:val="code"/>
    <w:basedOn w:val="Normal"/>
    <w:next w:val="Normal"/>
    <w:qFormat/>
    <w:pPr>
      <w:spacing w:lineRule="exact" w:line="140"/>
    </w:pPr>
    <w:rPr>
      <w:i/>
      <w:color w:val="000000"/>
      <w:sz w:val="14"/>
      <w:lang w:val="en-CA" w:eastAsia="en-CA"/>
    </w:rPr>
  </w:style>
  <w:style w:type="paragraph" w:styleId="BulletText">
    <w:name w:val="Bullet Text"/>
    <w:basedOn w:val="Normal"/>
    <w:qFormat/>
    <w:pPr>
      <w:numPr>
        <w:ilvl w:val="0"/>
        <w:numId w:val="3"/>
      </w:numPr>
      <w:tabs>
        <w:tab w:val="clear" w:pos="720"/>
      </w:tabs>
      <w:spacing w:before="60" w:after="60"/>
      <w:ind w:hanging="0" w:start="547" w:end="0"/>
    </w:pPr>
    <w:rPr>
      <w:sz w:val="22"/>
    </w:rPr>
  </w:style>
  <w:style w:type="paragraph" w:styleId="ListBullet">
    <w:name w:val="List Bullet"/>
    <w:basedOn w:val="Normal"/>
    <w:qFormat/>
    <w:pPr>
      <w:numPr>
        <w:ilvl w:val="0"/>
        <w:numId w:val="2"/>
      </w:numPr>
    </w:pPr>
    <w:rPr/>
  </w:style>
  <w:style w:type="paragraph" w:styleId="BodyTextIndent3">
    <w:name w:val="Body Text Indent 3"/>
    <w:basedOn w:val="Normal"/>
    <w:qFormat/>
    <w:pPr>
      <w:ind w:hanging="0" w:start="-270" w:end="0"/>
      <w:jc w:val="both"/>
    </w:pPr>
    <w:rPr>
      <w:sz w:val="22"/>
    </w:rPr>
  </w:style>
  <w:style w:type="paragraph" w:styleId="JustifiedBodyItalics">
    <w:name w:val="JustifiedBodyItalics"/>
    <w:basedOn w:val="JustifiedBody"/>
    <w:qFormat/>
    <w:pPr/>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ofFigures">
    <w:name w:val="Table of Figures"/>
    <w:basedOn w:val="Normal"/>
    <w:next w:val="Normal"/>
    <w:qFormat/>
    <w:pPr>
      <w:ind w:hanging="400" w:start="400" w:end="0"/>
    </w:pPr>
    <w:rPr/>
  </w:style>
  <w:style w:type="paragraph" w:styleId="FootnoteText">
    <w:name w:val="footnote text"/>
    <w:basedOn w:val="Normal"/>
    <w:pPr/>
    <w:rPr/>
  </w:style>
  <w:style w:type="paragraph" w:styleId="cBulletsDash">
    <w:name w:val="c. Bullets Dash"/>
    <w:basedOn w:val="Normal"/>
    <w:qFormat/>
    <w:pPr>
      <w:numPr>
        <w:ilvl w:val="0"/>
        <w:numId w:val="5"/>
      </w:numPr>
    </w:pPr>
    <w:rPr/>
  </w:style>
  <w:style w:type="paragraph" w:styleId="CommentText">
    <w:name w:val="Comment Text"/>
    <w:basedOn w:val="Normal"/>
    <w:qFormat/>
    <w:pPr/>
    <w:rPr/>
  </w:style>
  <w:style w:type="paragraph" w:styleId="ParagraphTitle">
    <w:name w:val="Paragraph Title"/>
    <w:basedOn w:val="Normal"/>
    <w:next w:val="BodyText"/>
    <w:qFormat/>
    <w:pPr>
      <w:keepLines/>
      <w:spacing w:before="240" w:after="0"/>
    </w:pPr>
    <w:rPr>
      <w:rFonts w:ascii="Arial" w:hAnsi="Arial" w:cs="Arial"/>
      <w:b/>
      <w:i/>
      <w:spacing w:val="-2"/>
      <w:sz w:val="26"/>
    </w:rPr>
  </w:style>
  <w:style w:type="paragraph" w:styleId="03BodyText">
    <w:name w:val="03. Body Text"/>
    <w:basedOn w:val="Normal"/>
    <w:qFormat/>
    <w:pPr>
      <w:tabs>
        <w:tab w:val="clear" w:pos="720"/>
        <w:tab w:val="left" w:pos="2880" w:leader="none"/>
        <w:tab w:val="center" w:pos="6300" w:leader="none"/>
        <w:tab w:val="right" w:pos="10080" w:leader="none"/>
      </w:tabs>
      <w:ind w:hanging="2520" w:start="2520" w:end="0"/>
      <w:jc w:val="both"/>
    </w:pPr>
    <w:rPr>
      <w:rFonts w:ascii="Arial" w:hAnsi="Arial" w:cs="Arial"/>
    </w:rPr>
  </w:style>
  <w:style w:type="paragraph" w:styleId="bull1">
    <w:name w:val="bull1"/>
    <w:basedOn w:val="Normal"/>
    <w:qFormat/>
    <w:pPr>
      <w:numPr>
        <w:ilvl w:val="0"/>
        <w:numId w:val="8"/>
      </w:numPr>
    </w:pPr>
    <w:rPr/>
  </w:style>
  <w:style w:type="paragraph" w:styleId="TableText">
    <w:name w:val="Table Text"/>
    <w:basedOn w:val="Normal"/>
    <w:qFormat/>
    <w:pPr>
      <w:spacing w:before="60" w:after="60"/>
      <w:jc w:val="both"/>
    </w:pPr>
    <w:rPr>
      <w:sz w:val="22"/>
    </w:rPr>
  </w:style>
  <w:style w:type="paragraph" w:styleId="A0body">
    <w:name w:val="A:0:body"/>
    <w:basedOn w:val="Normal"/>
    <w:qFormat/>
    <w:pPr>
      <w:spacing w:before="100" w:after="100"/>
      <w:ind w:hanging="0" w:start="0" w:end="72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bill.sperry@chase.com" TargetMode="External"/><Relationship Id="rId11" Type="http://schemas.openxmlformats.org/officeDocument/2006/relationships/hyperlink" Target="mailto:awaxman@psilos.com" TargetMode="External"/><Relationship Id="rId12" Type="http://schemas.openxmlformats.org/officeDocument/2006/relationships/hyperlink" Target="mailto:bill.w.brown@enron.com"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3.wmf"/><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4.wmf"/><Relationship Id="rId23" Type="http://schemas.openxmlformats.org/officeDocument/2006/relationships/image" Target="media/image5.wmf"/><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image" Target="media/image6.wmf"/><Relationship Id="rId33" Type="http://schemas.openxmlformats.org/officeDocument/2006/relationships/header" Target="header10.xml"/><Relationship Id="rId34" Type="http://schemas.openxmlformats.org/officeDocument/2006/relationships/footer" Target="footer12.xml"/><Relationship Id="rId35" Type="http://schemas.openxmlformats.org/officeDocument/2006/relationships/image" Target="media/image7.wmf"/><Relationship Id="rId36" Type="http://schemas.openxmlformats.org/officeDocument/2006/relationships/image" Target="media/image8.wmf"/><Relationship Id="rId37" Type="http://schemas.openxmlformats.org/officeDocument/2006/relationships/image" Target="media/image9.wmf"/><Relationship Id="rId38" Type="http://schemas.openxmlformats.org/officeDocument/2006/relationships/image" Target="media/image10.wmf"/><Relationship Id="rId39" Type="http://schemas.openxmlformats.org/officeDocument/2006/relationships/image" Target="media/image11.wmf"/><Relationship Id="rId40" Type="http://schemas.openxmlformats.org/officeDocument/2006/relationships/image" Target="media/image12.wmf"/><Relationship Id="rId41" Type="http://schemas.openxmlformats.org/officeDocument/2006/relationships/image" Target="media/image13.wmf"/><Relationship Id="rId42" Type="http://schemas.openxmlformats.org/officeDocument/2006/relationships/image" Target="media/image14.wmf"/><Relationship Id="rId43" Type="http://schemas.openxmlformats.org/officeDocument/2006/relationships/header" Target="header11.xml"/><Relationship Id="rId44" Type="http://schemas.openxmlformats.org/officeDocument/2006/relationships/header" Target="header12.xml"/><Relationship Id="rId45" Type="http://schemas.openxmlformats.org/officeDocument/2006/relationships/footer" Target="footer13.xml"/><Relationship Id="rId46" Type="http://schemas.openxmlformats.org/officeDocument/2006/relationships/footer" Target="footer14.xml"/><Relationship Id="rId47" Type="http://schemas.openxmlformats.org/officeDocument/2006/relationships/image" Target="media/image15.wmf"/><Relationship Id="rId48" Type="http://schemas.openxmlformats.org/officeDocument/2006/relationships/package" Target="embeddings/oleObject2.xlsx"/><Relationship Id="rId49" Type="http://schemas.openxmlformats.org/officeDocument/2006/relationships/image" Target="media/image16.wmf"/><Relationship Id="rId50" Type="http://schemas.openxmlformats.org/officeDocument/2006/relationships/header" Target="header13.xml"/><Relationship Id="rId51" Type="http://schemas.openxmlformats.org/officeDocument/2006/relationships/footer" Target="footer15.xml"/><Relationship Id="rId52" Type="http://schemas.openxmlformats.org/officeDocument/2006/relationships/image" Target="media/image17.wmf"/><Relationship Id="rId53" Type="http://schemas.openxmlformats.org/officeDocument/2006/relationships/oleObject" Target="embeddings/oleObject3.bin"/><Relationship Id="rId54" Type="http://schemas.openxmlformats.org/officeDocument/2006/relationships/image" Target="media/image18.wmf"/><Relationship Id="rId55" Type="http://schemas.openxmlformats.org/officeDocument/2006/relationships/image" Target="media/image19.wmf"/><Relationship Id="rId56" Type="http://schemas.openxmlformats.org/officeDocument/2006/relationships/image" Target="media/image20.wmf"/><Relationship Id="rId57" Type="http://schemas.openxmlformats.org/officeDocument/2006/relationships/image" Target="media/image21.wmf"/><Relationship Id="rId58" Type="http://schemas.openxmlformats.org/officeDocument/2006/relationships/header" Target="header14.xml"/><Relationship Id="rId59" Type="http://schemas.openxmlformats.org/officeDocument/2006/relationships/footer" Target="footer16.xml"/><Relationship Id="rId60" Type="http://schemas.openxmlformats.org/officeDocument/2006/relationships/image" Target="media/image22.wmf"/><Relationship Id="rId61" Type="http://schemas.openxmlformats.org/officeDocument/2006/relationships/header" Target="header15.xml"/><Relationship Id="rId62" Type="http://schemas.openxmlformats.org/officeDocument/2006/relationships/footer" Target="footer17.xml"/><Relationship Id="rId63" Type="http://schemas.openxmlformats.org/officeDocument/2006/relationships/image" Target="media/image23.wmf"/><Relationship Id="rId64" Type="http://schemas.openxmlformats.org/officeDocument/2006/relationships/image" Target="media/image24.wmf"/><Relationship Id="rId65" Type="http://schemas.openxmlformats.org/officeDocument/2006/relationships/image" Target="media/image25.wmf"/><Relationship Id="rId66" Type="http://schemas.openxmlformats.org/officeDocument/2006/relationships/header" Target="header16.xml"/><Relationship Id="rId67" Type="http://schemas.openxmlformats.org/officeDocument/2006/relationships/footer" Target="footer18.xml"/><Relationship Id="rId68" Type="http://schemas.openxmlformats.org/officeDocument/2006/relationships/header" Target="header17.xml"/><Relationship Id="rId69" Type="http://schemas.openxmlformats.org/officeDocument/2006/relationships/footer" Target="footer19.xml"/><Relationship Id="rId70" Type="http://schemas.openxmlformats.org/officeDocument/2006/relationships/image" Target="media/image26.wmf"/><Relationship Id="rId71" Type="http://schemas.openxmlformats.org/officeDocument/2006/relationships/image" Target="media/image27.wmf"/><Relationship Id="rId72" Type="http://schemas.openxmlformats.org/officeDocument/2006/relationships/image" Target="media/image28.wmf"/><Relationship Id="rId73" Type="http://schemas.openxmlformats.org/officeDocument/2006/relationships/image" Target="media/image29.wmf"/><Relationship Id="rId74" Type="http://schemas.openxmlformats.org/officeDocument/2006/relationships/image" Target="media/image30.wmf"/><Relationship Id="rId75" Type="http://schemas.openxmlformats.org/officeDocument/2006/relationships/image" Target="media/image31.wmf"/><Relationship Id="rId76" Type="http://schemas.openxmlformats.org/officeDocument/2006/relationships/header" Target="header18.xml"/><Relationship Id="rId77" Type="http://schemas.openxmlformats.org/officeDocument/2006/relationships/footer" Target="footer20.xml"/><Relationship Id="rId78" Type="http://schemas.openxmlformats.org/officeDocument/2006/relationships/header" Target="header19.xml"/><Relationship Id="rId79" Type="http://schemas.openxmlformats.org/officeDocument/2006/relationships/footer" Target="footer21.xml"/><Relationship Id="rId80" Type="http://schemas.openxmlformats.org/officeDocument/2006/relationships/header" Target="header20.xml"/><Relationship Id="rId81" Type="http://schemas.openxmlformats.org/officeDocument/2006/relationships/header" Target="header21.xml"/><Relationship Id="rId82" Type="http://schemas.openxmlformats.org/officeDocument/2006/relationships/footer" Target="footer22.xml"/><Relationship Id="rId83" Type="http://schemas.openxmlformats.org/officeDocument/2006/relationships/footer" Target="footer23.xml"/><Relationship Id="rId84" Type="http://schemas.openxmlformats.org/officeDocument/2006/relationships/comments" Target="comments.xml"/><Relationship Id="rId85" Type="http://schemas.openxmlformats.org/officeDocument/2006/relationships/numbering" Target="numbering.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2000-07-25T11:27:00Z</dcterms:created>
  <dc:creator>Jillian Wilson</dc:creator>
  <dc:description/>
  <dc:language>en-CA</dc:language>
  <cp:lastModifiedBy>U142538</cp:lastModifiedBy>
  <cp:lastPrinted>2000-07-24T19:57:00Z</cp:lastPrinted>
  <dcterms:modified xsi:type="dcterms:W3CDTF">2000-07-25T11:27:00Z</dcterms:modified>
  <cp:revision>2</cp:revision>
  <dc:subject/>
  <dc:title>Psilos Group Partners II, L</dc:title>
</cp:coreProperties>
</file>