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object w:dxaOrig="9015" w:dyaOrig="205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8.4pt;margin-top:-57pt;width:302.4pt;height:68.95pt;mso-wrap-distance-left:9.05pt;mso-wrap-distance-right:9.05pt;mso-position-horizontal-relative:text;mso-position-vertical-relative:text" filled="f" o:ole="">
            <v:imagedata r:id="rId3" o:title=""/>
            <w10:wrap type="topAndBottom"/>
          </v:shape>
          <o:OLEObject Type="Embed" ProgID="" ShapeID="ole_rId2" DrawAspect="Content" ObjectID="_599692570" r:id="rId2"/>
        </w:object>
      </w:r>
      <w:r>
        <mc:AlternateContent>
          <mc:Choice Requires="wps">
            <w:drawing>
              <wp:anchor behindDoc="0" distT="0" distB="0" distL="114935" distR="114935" simplePos="0" locked="0" layoutInCell="1" allowOverlap="1" relativeHeight="3">
                <wp:simplePos x="0" y="0"/>
                <wp:positionH relativeFrom="column">
                  <wp:posOffset>4343400</wp:posOffset>
                </wp:positionH>
                <wp:positionV relativeFrom="paragraph">
                  <wp:posOffset>-776605</wp:posOffset>
                </wp:positionV>
                <wp:extent cx="1188720" cy="365760"/>
                <wp:effectExtent l="0" t="0" r="0" b="0"/>
                <wp:wrapNone/>
                <wp:docPr id="1"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61.15pt;mso-position-vertical-relative:text;margin-left:342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Normal"/>
        <w:rPr/>
      </w:pPr>
      <w:r>
        <w:rPr/>
      </w:r>
    </w:p>
    <w:p>
      <w:pPr>
        <w:pStyle w:val="Normal"/>
        <w:rPr/>
      </w:pPr>
      <w:r>
        <w:rPr/>
      </w:r>
    </w:p>
    <w:p>
      <w:pPr>
        <w:pStyle w:val="Normal"/>
        <w:rPr/>
      </w:pPr>
      <w:r>
        <w:rPr/>
        <w:t>July 24, 2000</w:t>
      </w:r>
    </w:p>
    <w:p>
      <w:pPr>
        <w:pStyle w:val="Normal"/>
        <w:rPr/>
      </w:pPr>
      <w:r>
        <w:rPr/>
      </w:r>
    </w:p>
    <w:p>
      <w:pPr>
        <w:pStyle w:val="Normal"/>
        <w:rPr/>
      </w:pPr>
      <w:r>
        <w:rPr/>
        <w:t>Eric Saltmarsh, Esq.</w:t>
      </w:r>
    </w:p>
    <w:p>
      <w:pPr>
        <w:pStyle w:val="Normal"/>
        <w:rPr/>
      </w:pPr>
      <w:r>
        <w:rPr/>
        <w:t>California Electricity Oversight Board</w:t>
      </w:r>
    </w:p>
    <w:p>
      <w:pPr>
        <w:pStyle w:val="Normal"/>
        <w:rPr/>
      </w:pPr>
      <w:r>
        <w:rPr/>
        <w:t>770 L Street, Suite 1250</w:t>
      </w:r>
    </w:p>
    <w:p>
      <w:pPr>
        <w:pStyle w:val="Normal"/>
        <w:rPr/>
      </w:pPr>
      <w:r>
        <w:rPr/>
        <w:t>Sacramento, CA 95814</w:t>
      </w:r>
    </w:p>
    <w:p>
      <w:pPr>
        <w:pStyle w:val="Normal"/>
        <w:ind w:start="720" w:end="0"/>
        <w:rPr/>
      </w:pPr>
      <w:r>
        <w:rPr/>
      </w:r>
    </w:p>
    <w:p>
      <w:pPr>
        <w:pStyle w:val="Normal"/>
        <w:ind w:start="720" w:end="0"/>
        <w:rPr/>
      </w:pPr>
      <w:r>
        <w:rPr/>
        <w:t>RE:</w:t>
        <w:tab/>
        <w:t>California Electricity Oversight Board Subpoena and Confidentiality Agreement dated July 21, 2000</w:t>
        <w:tab/>
        <w:tab/>
      </w:r>
    </w:p>
    <w:p>
      <w:pPr>
        <w:pStyle w:val="Normal"/>
        <w:rPr/>
      </w:pPr>
      <w:r>
        <w:rPr/>
      </w:r>
    </w:p>
    <w:p>
      <w:pPr>
        <w:pStyle w:val="Normal"/>
        <w:rPr/>
      </w:pPr>
      <w:r>
        <w:rPr/>
        <w:t>Dear Mr. Saltmarsh:</w:t>
      </w:r>
    </w:p>
    <w:p>
      <w:pPr>
        <w:pStyle w:val="Normal"/>
        <w:rPr/>
      </w:pPr>
      <w:r>
        <w:rPr/>
      </w:r>
    </w:p>
    <w:p>
      <w:pPr>
        <w:pStyle w:val="BodyText"/>
        <w:rPr/>
      </w:pPr>
      <w:r>
        <w:rPr/>
        <w:t xml:space="preserve">Thank you for your letter of July 21, together with the subpoena formally seeking certain categories of documents from the ISO.  As you know, we are in the process of preparing our responses and have already provided to the EOB several categories of the requested documents.  Subject to reaching agreement regarding the confidential treatment of certain categories of documents, the ISO is prepared to provide complete responses in a timely manner.  </w:t>
      </w:r>
    </w:p>
    <w:p>
      <w:pPr>
        <w:pStyle w:val="BodyText"/>
        <w:rPr/>
      </w:pPr>
      <w:r>
        <w:rPr/>
        <w:t xml:space="preserve">We appreciate the EOB’s agreement to treat as confidential categories 1, 2, 4, 5 and parts of 7 of the subpoena.  We note that EOB did not address category 6 with an indication as to whether it would agree to treat responsive documents as confidential.  With respect to categories 9, 12, 13 and 19, EOB has requested additional information pertaining to the justification for treating those as confidential categories. </w:t>
      </w:r>
    </w:p>
    <w:p>
      <w:pPr>
        <w:pStyle w:val="BodyText"/>
        <w:rPr/>
      </w:pPr>
      <w:r>
        <w:rPr/>
        <w:t>We are pleased to provide the EOB with an explanation that we believe fully justifies confidential treatment for the following categories of requested documents:</w:t>
      </w:r>
    </w:p>
    <w:p>
      <w:pPr>
        <w:pStyle w:val="BodyText"/>
        <w:rPr>
          <w:u w:val="single"/>
        </w:rPr>
      </w:pPr>
      <w:r>
        <w:rPr>
          <w:u w:val="single"/>
        </w:rPr>
        <w:t>Category 6</w:t>
      </w:r>
    </w:p>
    <w:p>
      <w:pPr>
        <w:pStyle w:val="BodyText"/>
        <w:rPr/>
      </w:pPr>
      <w:r>
        <w:rPr/>
        <w:t xml:space="preserve">This request includes information on calls for out-of-sequence calls.  Although this matter was not addressed in EOB’s letter, ISO believes that confidential treatment of out-of-sequence calls is fully warranted.  Out-of-sequence calls will reveal information on bidding strategy and bids, and therefore, fall squarely within ISO’s Tariff § 20.3.2 (a), (b) and (c), which requires that such information be treated as confidential.  </w:t>
      </w:r>
    </w:p>
    <w:p>
      <w:pPr>
        <w:pStyle w:val="BodyText"/>
        <w:rPr>
          <w:u w:val="single"/>
        </w:rPr>
      </w:pPr>
      <w:r>
        <w:rPr>
          <w:u w:val="single"/>
        </w:rPr>
        <w:t>Category 9</w:t>
      </w:r>
    </w:p>
    <w:p>
      <w:pPr>
        <w:pStyle w:val="BodyText"/>
        <w:rPr/>
      </w:pPr>
      <w:r>
        <w:rPr/>
        <w:t xml:space="preserve">EOB has requested copies of ISO’s Morning Report.  ISO has requested confidential treatment of the Morning Report for the same reasons that justify confidential treatment of categories 4 and 5 of the subpoena, namely, the Morning Report often contains bid information that ISO is obligated to keep confidential.  </w:t>
      </w:r>
      <w:r>
        <w:rPr>
          <w:i/>
        </w:rPr>
        <w:t>See</w:t>
      </w:r>
      <w:r>
        <w:rPr/>
        <w:t xml:space="preserve"> ISO Tariff § 20.3.2 (a), (b) and (c).  Moreover, the Morning Reports often contain the unverified opinions of ISO operators, who are encouraged to speak candidly secure in the knowledge that their opinions, which are often revised upon full investigation and consideration of additional information, will be kept confidential.  Accordingly, ISO trusts that EOB will agree to treat the Morning Report as confidential.</w:t>
      </w:r>
    </w:p>
    <w:p>
      <w:pPr>
        <w:pStyle w:val="BodyText"/>
        <w:rPr>
          <w:u w:val="single"/>
        </w:rPr>
      </w:pPr>
      <w:r>
        <w:rPr>
          <w:u w:val="single"/>
        </w:rPr>
        <w:t>Category 19</w:t>
      </w:r>
    </w:p>
    <w:p>
      <w:pPr>
        <w:pStyle w:val="BodyText"/>
        <w:tabs>
          <w:tab w:val="clear" w:pos="360"/>
          <w:tab w:val="left" w:pos="720" w:leader="none"/>
        </w:tabs>
        <w:ind w:hanging="0" w:end="0"/>
        <w:rPr/>
      </w:pPr>
      <w:r>
        <w:rPr/>
        <w:tab/>
        <w:t xml:space="preserve">Operating procedures.  The EOB has requested certain of ISO’s internal operating procedures.  These procedures are not generally shared with the public in order to avoid providing any participant with a competitive advantage and to maintain the integrity of the ISO Controlled Grid.  The ISO has reviewed the specific operating procedures requested.   Procedures T-126 and T133 are particularly sensitive.  They contain detailed information on specific operating requirements, component ratings and use of generation to address operating developments.   Public disclosure of this information could adversely affect bidding behavior and system security.  Therefore, we request that this information be treated as confidential by the EOB. </w:t>
      </w:r>
    </w:p>
    <w:p>
      <w:pPr>
        <w:pStyle w:val="BodyText"/>
        <w:rPr>
          <w:u w:val="single"/>
        </w:rPr>
      </w:pPr>
      <w:r>
        <w:rPr>
          <w:u w:val="single"/>
        </w:rPr>
        <w:t>Conclusion</w:t>
      </w:r>
    </w:p>
    <w:p>
      <w:pPr>
        <w:pStyle w:val="BodyText"/>
        <w:rPr/>
      </w:pPr>
      <w:r>
        <w:rPr/>
        <w:t xml:space="preserve">ISO intends to comply with the document requests in a timely fashion.  We hope to avoid any delays that would be occasioned by disagreement regarding the confidential nature of the requested documents.  Therefore, ISO respectfully requests that EOB respond as quickly as possible indicating whether EOB will agree to treat the above categories of documents as confidential.  In compliance with our Tariff, ISO has also notified Market Participants of our intention to turn over categories of documents, by July 25, 2000 at 4:00 p.m., that some market participants contend are confidential.  Therefore, the EOB should be aware that some Market Participants may also seek to discuss EOB’s willingness to treat other categories as confidential. </w:t>
      </w:r>
    </w:p>
    <w:p>
      <w:pPr>
        <w:pStyle w:val="SignatureBlock"/>
        <w:rPr/>
      </w:pPr>
      <w:r>
        <w:rPr/>
        <w:t>Very truly yours,</w:t>
      </w:r>
    </w:p>
    <w:p>
      <w:pPr>
        <w:pStyle w:val="SignatureBlock"/>
        <w:tabs>
          <w:tab w:val="clear" w:pos="360"/>
          <w:tab w:val="left" w:pos="720" w:leader="none"/>
        </w:tabs>
        <w:rPr/>
      </w:pPr>
      <w:r>
        <w:rPr/>
      </w:r>
    </w:p>
    <w:p>
      <w:pPr>
        <w:pStyle w:val="SignatureBlock"/>
        <w:tabs>
          <w:tab w:val="clear" w:pos="360"/>
          <w:tab w:val="left" w:pos="720" w:leader="none"/>
        </w:tabs>
        <w:rPr/>
      </w:pPr>
      <w:r>
        <w:rPr/>
      </w:r>
    </w:p>
    <w:p>
      <w:pPr>
        <w:pStyle w:val="SignatureBlock"/>
        <w:tabs>
          <w:tab w:val="clear" w:pos="360"/>
          <w:tab w:val="left" w:pos="720" w:leader="none"/>
        </w:tabs>
        <w:rPr/>
      </w:pPr>
      <w:r>
        <w:rPr/>
        <w:t>Jeanne M. Solé</w:t>
      </w:r>
    </w:p>
    <w:p>
      <w:pPr>
        <w:pStyle w:val="SignatureBlock"/>
        <w:tabs>
          <w:tab w:val="clear" w:pos="360"/>
          <w:tab w:val="left" w:pos="720" w:leader="none"/>
        </w:tabs>
        <w:rPr/>
      </w:pPr>
      <w:r>
        <w:rPr/>
        <w:t>Regulatory Counsel</w:t>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jc w:val="center"/>
      <w:rPr/>
    </w:pPr>
    <w:r>
      <w:rPr>
        <w:rFonts w:cs="Arial Narrow" w:ascii="Arial Narrow" w:hAnsi="Arial Narrow"/>
        <w:sz w:val="20"/>
      </w:rPr>
      <w:t>151 Blue Ravine Road               Folsom, CA  95630               (916) 351-4400</w:t>
    </w:r>
    <w:r>
      <w:rPr>
        <w:rFonts w:cs="Arial Narrow" w:ascii="Arial Narrow" w:hAnsi="Arial Narrow"/>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docVars>
    <w:docVar w:name="trailer" w:val="Draf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gnatureBlock">
    <w:name w:val="Signature Block"/>
    <w:basedOn w:val="Normal"/>
    <w:qFormat/>
    <w:pPr>
      <w:ind w:hanging="0" w:start="4320" w:end="0"/>
    </w:pPr>
    <w:rPr>
      <w:kern w:val="2"/>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Normal"/>
    <w:pPr>
      <w:tabs>
        <w:tab w:val="clear" w:pos="36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2000-07-24T19:22:00Z</dcterms:created>
  <dc:creator>Andrew B. Sabey</dc:creator>
  <dc:description/>
  <dc:language>en-CA</dc:language>
  <cp:lastModifiedBy>JSole</cp:lastModifiedBy>
  <cp:lastPrinted>2000-07-24T14:44:00Z</cp:lastPrinted>
  <dcterms:modified xsi:type="dcterms:W3CDTF">2000-07-24T19:22:00Z</dcterms:modified>
  <cp:revision>2</cp:revision>
  <dc:subject/>
  <dc:title>Erik Saltmarsh, Esq</dc:title>
</cp:coreProperties>
</file>