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SDG&amp;E Advice Letter Summary</w:t>
      </w:r>
    </w:p>
    <w:p>
      <w:pPr>
        <w:pStyle w:val="Body"/>
        <w:widowControl/>
        <w:spacing w:before="0" w:after="0"/>
        <w:ind w:hanging="0" w:end="0"/>
        <w:jc w:val="center"/>
        <w:rPr>
          <w:b/>
          <w:u w:val="single"/>
        </w:rPr>
      </w:pPr>
      <w:r>
        <w:rPr>
          <w:b/>
          <w:u w:val="single"/>
        </w:rPr>
        <w:t>July 17, 2001</w:t>
      </w:r>
      <w:bookmarkStart w:id="0" w:name="zEndAddressee"/>
      <w:bookmarkEnd w:id="0"/>
    </w:p>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165"/>
        <w:gridCol w:w="298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1344-E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7/13/01</w:t>
            </w:r>
          </w:p>
        </w:tc>
        <w:tc>
          <w:tcPr>
            <w:tcW w:w="21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8/2/01</w:t>
            </w:r>
          </w:p>
          <w:p>
            <w:pPr>
              <w:pStyle w:val="Body"/>
              <w:widowControl/>
              <w:spacing w:before="0" w:after="0"/>
              <w:ind w:hanging="0" w:end="0"/>
              <w:jc w:val="center"/>
              <w:rPr/>
            </w:pPr>
            <w:r>
              <w:rPr/>
            </w:r>
          </w:p>
        </w:tc>
        <w:tc>
          <w:tcPr>
            <w:tcW w:w="298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comply with D01-07-025, which required the three electric utilities to adopt a Demand Bidding Program and withdraw their previously filed proposals for a Voluntary Demand Response Program.  This is also filed in accordance with the Governor’s June 8 Executive Order.</w:t>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r>
          </w:p>
          <w:p>
            <w:pPr>
              <w:pStyle w:val="Normal"/>
              <w:jc w:val="both"/>
              <w:rPr/>
            </w:pPr>
            <w:r>
              <w:rPr>
                <w:b/>
                <w:bCs/>
              </w:rPr>
              <w:t xml:space="preserve">HOWEVER, </w:t>
            </w:r>
            <w:r>
              <w:rPr/>
              <w:t>on July 16, Paul Clanon of the Energy Division sent a letter to SDG&amp;E which states, in part, that, “The Energy Division has determined that the revised tariffs are not in compliance with Decision 01-07-025, thus the revised tariffs shall not become effective July 16, 2001.  Energy Division will communicate to SDG&amp;E staff the tariff changes needed to be in full compliance with the decision.  SDG&amp;E shall then file a supplemental advice letter with these changes, which shall also be served on the service list.”</w:t>
            </w:r>
          </w:p>
          <w:p>
            <w:pPr>
              <w:pStyle w:val="Normal"/>
              <w:widowControl/>
              <w:tabs>
                <w:tab w:val="clear" w:pos="720"/>
                <w:tab w:val="left" w:pos="9180" w:leader="none"/>
              </w:tabs>
              <w:jc w:val="both"/>
              <w:rPr/>
            </w:pPr>
            <w:r>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7/16/01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8/5/01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seek authority to transfer the current balance of the URG revenue recorded in the TCBA to the Energy Rate Ceiling Revenue Shortfall Account.  This is being done in accordance with the Memorandum of Understanding executed by DWR and SDG&amp;E.  The amount is approximately $104 million, which is the overcollection in URG revenues allocated to large (non-AB 265) customers recorded to the TCBA from 6/1/00 through 12/31/00.  Overcollected URG revenues allocated to small, AB 265 customers has already been recorded to the ERCRSA pursuant to D.00-09-040 and AB 265 itself.  The overcollected amount for large customers represents the difference between the market revenues received and the authorized costs incurred for power from the utility’s share of SONGS, its QF contracts, and the Portland General Electric and Public Service of New Mexico long-term contracts.</w:t>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r>
          </w:p>
          <w:p>
            <w:pPr>
              <w:pStyle w:val="BodyText21"/>
              <w:widowControl/>
              <w:tabs>
                <w:tab w:val="clear" w:pos="720"/>
                <w:tab w:val="left" w:pos="9180" w:leader="none"/>
              </w:tabs>
              <w:rPr/>
            </w:pPr>
            <w:r>
              <w:rPr>
                <w:rFonts w:cs="Times New Roman" w:ascii="Times New Roman" w:hAnsi="Times New Roman"/>
              </w:rPr>
              <w:t xml:space="preserve">The advice letter attaches a letter from Sen. Alpert, which states her belief that SDG&amp;E’s retained generation was being used to serve its 100 kW, and below customers.  In other words, </w:t>
            </w:r>
            <w:r>
              <w:rPr>
                <w:rFonts w:cs="Times New Roman" w:ascii="Times New Roman" w:hAnsi="Times New Roman"/>
                <w:u w:val="single"/>
              </w:rPr>
              <w:t>SDG&amp;E is allocating the remaining overcollected URG revenues to the benefit of AB 265 customers, rather than to the large customers to whom these revenues were originally allocated.</w:t>
            </w:r>
          </w:p>
          <w:p>
            <w:pPr>
              <w:pStyle w:val="Normal"/>
              <w:widowControl/>
              <w:tabs>
                <w:tab w:val="clear" w:pos="720"/>
                <w:tab w:val="left" w:pos="9180" w:leader="none"/>
              </w:tabs>
              <w:jc w:val="both"/>
              <w:rPr>
                <w:rFonts w:ascii="Times New Roman" w:hAnsi="Times New Roman" w:cs="Times New Roman"/>
                <w:u w:val="single"/>
              </w:rPr>
            </w:pPr>
            <w:r>
              <w:rPr>
                <w:rFonts w:cs="Times New Roman"/>
                <w:u w:val="single"/>
              </w:rPr>
            </w:r>
          </w:p>
        </w:tc>
      </w:tr>
    </w:tbl>
    <w:p>
      <w:pPr>
        <w:pStyle w:val="Body"/>
        <w:widowControl/>
        <w:spacing w:before="0" w:after="0"/>
        <w:ind w:hanging="0" w:end="0"/>
        <w:jc w:val="center"/>
        <w:rPr>
          <w:b/>
          <w:u w:val="single"/>
        </w:rPr>
      </w:pPr>
      <w:r>
        <w:rPr>
          <w:b/>
          <w:u w:val="single"/>
        </w:rPr>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7/16/01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8/5/01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establish a State of California Transaction Costs Memorandum Account to record SDG&amp;E’s costs to reimburse the State of California for the reasonable costs incurred by the State in connection with “the negotiation and effectuation of the Memorandum of Understanding” with DWR.  In other words, SDG&amp;E’s ratepayers will pay for the State’s legal and other costs associated with the MOU.  To use a technical legal phrase, sure sounds screwy to me, although probably not something we would want to protest.</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r>
        <w:br w:type="page"/>
      </w:r>
    </w:p>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1341-E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7/3/01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7/23/01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modify the Optional Binding Mandatory Curtailment plan in accordance with D.01-06-087, to allow circuit aggregation, uniformly apply the calculation of excess energy and determination of compliance for required load reductions and flexibility in the 10-day baseline measurement.</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1342-E / 1261-G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7/5/01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7/25/01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notify the Commission of the creation of new affiliates.  The three new affiliates are Risk Capital Management Partners LLP, Sempra Energy (Switzerland) Holdings Sarl and Sempra Oil Trading (Suisse) Sarl.  These are the same affiliates identified in SoCalGas AL 3038.</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1262-G</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7/6/01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7/26/01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make routine monthly changes to core rates, monthly and one-year purchase commitment rates, franchise fee surcharges and Transportation Imbalance Service rates.</w:t>
            </w:r>
          </w:p>
          <w:p>
            <w:pPr>
              <w:pStyle w:val="Normal"/>
              <w:widowControl/>
              <w:tabs>
                <w:tab w:val="clear" w:pos="720"/>
                <w:tab w:val="left" w:pos="9180" w:leader="none"/>
              </w:tabs>
              <w:jc w:val="both"/>
              <w:rPr>
                <w:rFonts w:ascii="Times New Roman" w:hAnsi="Times New Roman" w:cs="Times New Roman"/>
              </w:rPr>
            </w:pPr>
            <w:r>
              <w:rPr>
                <w:rFonts w:cs="Times New Roman"/>
              </w:rPr>
            </w:r>
          </w:p>
        </w:tc>
      </w:tr>
    </w:tbl>
    <w:p>
      <w:pPr>
        <w:pStyle w:val="Body"/>
        <w:widowControl/>
        <w:spacing w:before="0" w:after="0"/>
        <w:ind w:hanging="0" w:end="0"/>
        <w:jc w:val="center"/>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1684"/>
        <w:gridCol w:w="3469"/>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Date Filed</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Comments Due</w:t>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1343-E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SDG&amp;E</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7/11/01</w:t>
            </w:r>
          </w:p>
        </w:tc>
        <w:tc>
          <w:tcPr>
            <w:tcW w:w="1684"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7/31/01</w:t>
            </w:r>
          </w:p>
          <w:p>
            <w:pPr>
              <w:pStyle w:val="Body"/>
              <w:widowControl/>
              <w:spacing w:before="0" w:after="0"/>
              <w:ind w:hanging="0" w:end="0"/>
              <w:jc w:val="center"/>
              <w:rPr/>
            </w:pPr>
            <w:r>
              <w:rPr/>
            </w:r>
          </w:p>
        </w:tc>
        <w:tc>
          <w:tcPr>
            <w:tcW w:w="3469"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b/>
              </w:rPr>
            </w:pPr>
            <w:r>
              <w:rPr>
                <w:b/>
              </w:rPr>
              <w:t>May Be of Interest</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rPr>
                <w:b/>
              </w:rPr>
            </w:pPr>
            <w:r>
              <w:rPr>
                <w:b/>
              </w:rPr>
              <w:t xml:space="preserve">Analysis:  </w:t>
            </w:r>
          </w:p>
          <w:p>
            <w:pPr>
              <w:pStyle w:val="Normal"/>
              <w:widowControl/>
              <w:tabs>
                <w:tab w:val="clear" w:pos="720"/>
                <w:tab w:val="left" w:pos="9180" w:leader="none"/>
              </w:tabs>
              <w:jc w:val="both"/>
              <w:rPr>
                <w:b/>
              </w:rPr>
            </w:pPr>
            <w:r>
              <w:rPr>
                <w:b/>
              </w:rPr>
            </w:r>
          </w:p>
          <w:p>
            <w:pPr>
              <w:pStyle w:val="BodyText21"/>
              <w:widowControl/>
              <w:tabs>
                <w:tab w:val="clear" w:pos="720"/>
                <w:tab w:val="left" w:pos="9180" w:leader="none"/>
              </w:tabs>
              <w:rPr>
                <w:rFonts w:ascii="Times New Roman" w:hAnsi="Times New Roman" w:cs="Times New Roman"/>
              </w:rPr>
            </w:pPr>
            <w:r>
              <w:rPr>
                <w:rFonts w:cs="Times New Roman" w:ascii="Times New Roman" w:hAnsi="Times New Roman"/>
              </w:rPr>
              <w:t>The purpose of this filing is to make further modifications to the Optional Binding Mandatory Curtailment plan in order to permit customers to exercise greater flexibility in determining the days of exclusion applicable to the 10-day baseline.</w:t>
            </w:r>
          </w:p>
        </w:tc>
      </w:tr>
    </w:tbl>
    <w:p>
      <w:pPr>
        <w:pStyle w:val="Body"/>
        <w:widowControl/>
        <w:spacing w:before="0" w:after="0"/>
        <w:ind w:hanging="0" w:end="0"/>
        <w:rPr/>
      </w:pPr>
      <w:r>
        <w:rPr/>
      </w:r>
    </w:p>
    <w:sectPr>
      <w:headerReference w:type="default" r:id="rId2"/>
      <w:headerReference w:type="first" r:id="rId3"/>
      <w:footerReference w:type="default" r:id="rId4"/>
      <w:footerReference w:type="first" r:id="rId5"/>
      <w:type w:val="nextPage"/>
      <w:pgSz w:w="12240" w:h="15840"/>
      <w:pgMar w:left="1440" w:right="1440" w:gutter="0" w:header="576" w:top="1152" w:footer="288"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t>SDG&amp;E Advice Letter Summary</w:t>
    </w:r>
  </w:p>
  <w:p>
    <w:pPr>
      <w:pStyle w:val="Header"/>
      <w:widowControl/>
      <w:rPr/>
    </w:pPr>
    <w:r>
      <w:rPr/>
      <w:fldChar w:fldCharType="begin"/>
    </w:r>
    <w:r>
      <w:rPr/>
      <w:instrText xml:space="preserve"> DATE \@"MMMM\ d', 'yyyy" </w:instrText>
    </w:r>
    <w:r>
      <w:rPr/>
      <w:fldChar w:fldCharType="separate"/>
    </w:r>
    <w:r>
      <w:rPr/>
      <w:t>September 28, 2025</w:t>
    </w:r>
    <w:r>
      <w:rPr/>
      <w:fldChar w:fldCharType="end"/>
    </w:r>
  </w:p>
  <w:p>
    <w:pPr>
      <w:pStyle w:val="Header"/>
      <w:widowControl/>
      <w:rPr>
        <w:rStyle w:val="PageNumber"/>
        <w:sz w:val="24"/>
      </w:rPr>
    </w:pPr>
    <w:r>
      <w:rPr/>
    </w:r>
  </w:p>
  <w:p>
    <w:pPr>
      <w:pStyle w:val="Header"/>
      <w:widowControl/>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Strong">
    <w:name w:val="Strong"/>
    <w:qFormat/>
    <w:rPr>
      <w:b/>
      <w:sz w:val="20"/>
    </w:rPr>
  </w:style>
  <w:style w:type="character" w:styleId="DocTitle">
    <w:name w:val="DocTitle"/>
    <w:basedOn w:val="DefaultParagraphFont"/>
    <w:qFormat/>
    <w:rPr>
      <w:b/>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Body1">
    <w:name w:val="Body1"/>
    <w:basedOn w:val="Normal"/>
    <w:qFormat/>
    <w:pPr>
      <w:spacing w:before="0" w:after="240"/>
      <w:ind w:firstLine="1440" w:start="0" w:end="0"/>
    </w:pPr>
    <w:rPr/>
  </w:style>
  <w:style w:type="paragraph" w:styleId="BodyText21">
    <w:name w:val="Body Text 21"/>
    <w:basedOn w:val="Normal"/>
    <w:qFormat/>
    <w:pPr>
      <w:jc w:val="both"/>
    </w:pPr>
    <w:rPr>
      <w:rFonts w:ascii="Arial" w:hAnsi="Arial" w:cs="Arial"/>
    </w:rPr>
  </w:style>
  <w:style w:type="paragraph" w:styleId="NormalWeb">
    <w:name w:val="Normal (Web)"/>
    <w:basedOn w:val="Normal"/>
    <w:qFormat/>
    <w:pPr>
      <w:widowControl/>
      <w:spacing w:before="100" w:after="100"/>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2001-07-17T14:57:00Z</dcterms:created>
  <dc:creator>Arter &amp; Hadden</dc:creator>
  <dc:description/>
  <dc:language>en-CA</dc:language>
  <cp:lastModifiedBy>Daniel W. Douglass</cp:lastModifiedBy>
  <cp:lastPrinted>2001-07-17T11:05:00Z</cp:lastPrinted>
  <dcterms:modified xsi:type="dcterms:W3CDTF">2001-07-17T15:35:00Z</dcterms:modified>
  <cp:revision>5</cp:revision>
  <dc:subject/>
  <dc:title>A</dc:title>
</cp:coreProperties>
</file>