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t xml:space="preserve">Outline of </w:t>
      </w:r>
    </w:p>
    <w:p>
      <w:pPr>
        <w:pStyle w:val="Normal"/>
        <w:jc w:val="center"/>
        <w:rPr/>
      </w:pPr>
      <w:r>
        <w:rPr/>
        <w:t xml:space="preserve">Northern Natural Gas Company’s </w:t>
      </w:r>
    </w:p>
    <w:p>
      <w:pPr>
        <w:pStyle w:val="Normal"/>
        <w:jc w:val="center"/>
        <w:rPr/>
      </w:pPr>
      <w:r>
        <w:rPr/>
        <w:t>Settlement Offer</w:t>
      </w:r>
    </w:p>
    <w:p>
      <w:pPr>
        <w:pStyle w:val="Normal"/>
        <w:jc w:val="center"/>
        <w:rPr/>
      </w:pPr>
      <w:r>
        <w:rPr/>
        <w:t>July 17, 2001</w:t>
      </w:r>
    </w:p>
    <w:p>
      <w:pPr>
        <w:pStyle w:val="Normal"/>
        <w:jc w:val="center"/>
        <w:rPr/>
      </w:pPr>
      <w:r>
        <w:rPr/>
        <w:t xml:space="preserve">In Docket Nos. RP01-76-000, RP01-382-000 </w:t>
      </w:r>
    </w:p>
    <w:p>
      <w:pPr>
        <w:pStyle w:val="Normal"/>
        <w:jc w:val="center"/>
        <w:rPr/>
      </w:pPr>
      <w:r>
        <w:rPr/>
        <w:t>and RP01-396-000</w:t>
      </w:r>
    </w:p>
    <w:p>
      <w:pPr>
        <w:pStyle w:val="Normal"/>
        <w:jc w:val="center"/>
        <w:rPr/>
      </w:pPr>
      <w:r>
        <w:rPr/>
      </w:r>
    </w:p>
    <w:p>
      <w:pPr>
        <w:pStyle w:val="Normal"/>
        <w:jc w:val="center"/>
        <w:rPr/>
      </w:pPr>
      <w:r>
        <w:rPr/>
      </w:r>
    </w:p>
    <w:p>
      <w:pPr>
        <w:pStyle w:val="Heading1"/>
        <w:ind w:hanging="0" w:start="0"/>
        <w:rPr/>
      </w:pPr>
      <w:r>
        <w:rPr/>
        <w:t>SLA Rate Modifications</w:t>
      </w:r>
    </w:p>
    <w:p>
      <w:pPr>
        <w:pStyle w:val="Header"/>
        <w:numPr>
          <w:ilvl w:val="0"/>
          <w:numId w:val="3"/>
        </w:numPr>
        <w:tabs>
          <w:tab w:val="clear" w:pos="4320"/>
          <w:tab w:val="clear" w:pos="8640"/>
        </w:tabs>
        <w:rPr/>
      </w:pPr>
      <w:r>
        <w:rPr/>
        <w:t>The settlement rate adjustments effective June 1, 2001 will reflect an SLA rate component equal to a 15% fixed rate times a number that, solely for purposes of calculating the return and tax rate adjustment effective June 1, 2001, is $2.5 million less than the 13-month average cash balance for the period ended March 31, 2001 of $10.9 million.  (Adjusted 13-month average cash balance) (See attached Schedule)</w:t>
      </w:r>
    </w:p>
    <w:p>
      <w:pPr>
        <w:pStyle w:val="Header"/>
        <w:tabs>
          <w:tab w:val="clear" w:pos="4320"/>
          <w:tab w:val="clear" w:pos="8640"/>
        </w:tabs>
        <w:rPr/>
      </w:pPr>
      <w:r>
        <w:rPr/>
      </w:r>
    </w:p>
    <w:p>
      <w:pPr>
        <w:pStyle w:val="Normal"/>
        <w:numPr>
          <w:ilvl w:val="0"/>
          <w:numId w:val="4"/>
        </w:numPr>
        <w:rPr/>
      </w:pPr>
      <w:r>
        <w:rPr/>
        <w:t>No refunds of SLA rates collected subject to refund in Docket No. RP01-76-000.</w:t>
      </w:r>
    </w:p>
    <w:p>
      <w:pPr>
        <w:pStyle w:val="Normal"/>
        <w:rPr/>
      </w:pPr>
      <w:r>
        <w:rPr/>
      </w:r>
    </w:p>
    <w:p>
      <w:pPr>
        <w:pStyle w:val="Normal"/>
        <w:numPr>
          <w:ilvl w:val="0"/>
          <w:numId w:val="4"/>
        </w:numPr>
        <w:rPr/>
      </w:pPr>
      <w:r>
        <w:rPr/>
        <w:t xml:space="preserve">Rates in Docket No. RP01-396-000 remain in effect until earlier of settlement becoming effective or November 1, 2001, with any refunds for that period applied to the SLA balance.  </w:t>
      </w:r>
    </w:p>
    <w:p>
      <w:pPr>
        <w:pStyle w:val="Normal"/>
        <w:rPr/>
      </w:pPr>
      <w:r>
        <w:rPr/>
      </w:r>
    </w:p>
    <w:p>
      <w:pPr>
        <w:pStyle w:val="Normal"/>
        <w:numPr>
          <w:ilvl w:val="0"/>
          <w:numId w:val="4"/>
        </w:numPr>
        <w:rPr/>
      </w:pPr>
      <w:r>
        <w:rPr/>
        <w:t>On the earlier of November 1, 2001 or the first month following the effective date of the settlement, Northern will credit monthly to the SLA balance an amount equal to one-twelfth of the 3% of the 13-month adjusted average cash balance as of March 31, 2001 (SLA Credit).</w:t>
      </w:r>
    </w:p>
    <w:p>
      <w:pPr>
        <w:pStyle w:val="Normal"/>
        <w:rPr/>
      </w:pPr>
      <w:r>
        <w:rPr/>
      </w:r>
    </w:p>
    <w:p>
      <w:pPr>
        <w:pStyle w:val="Header"/>
        <w:numPr>
          <w:ilvl w:val="0"/>
          <w:numId w:val="6"/>
        </w:numPr>
        <w:tabs>
          <w:tab w:val="clear" w:pos="4320"/>
          <w:tab w:val="clear" w:pos="8640"/>
        </w:tabs>
        <w:rPr/>
      </w:pPr>
      <w:r>
        <w:rPr/>
        <w:t>On May 1, 2002, Northern shall file rate adjustments to be effective June 1, 2002, which will reflect an SLA rate component equal to a 15% fixed rate times a number that, solely for purposes of calculating the return and tax rate adjustment effective June 1, 2002, is $5 million less than the 13-month average cash balance for the period ended March 31, 2002.  (Adjusted 13-month average cash balance) The $5 million adjustment will be used in each subsequent May 1 filing to adjust the respective 13-month average cash balance.  Northern shall also continue to credit to the SLA balance 3% of the respective 13-month adjusted average cash balance (SLA Credit).</w:t>
      </w:r>
    </w:p>
    <w:p>
      <w:pPr>
        <w:pStyle w:val="Header"/>
        <w:tabs>
          <w:tab w:val="clear" w:pos="4320"/>
          <w:tab w:val="clear" w:pos="8640"/>
        </w:tabs>
        <w:ind w:start="360" w:end="0"/>
        <w:rPr/>
      </w:pPr>
      <w:r>
        <w:rPr/>
      </w:r>
    </w:p>
    <w:p>
      <w:pPr>
        <w:pStyle w:val="Header"/>
        <w:numPr>
          <w:ilvl w:val="0"/>
          <w:numId w:val="6"/>
        </w:numPr>
        <w:tabs>
          <w:tab w:val="clear" w:pos="4320"/>
          <w:tab w:val="clear" w:pos="8640"/>
        </w:tabs>
        <w:rPr/>
      </w:pPr>
      <w:r>
        <w:rPr/>
        <w:t>Northern will agree that the maximum adjustment amount for return and tax it can file to retain shall be capped at a level of $7.0 million annually, not including the SLA Credit. (Cap). (See attached schedule: the $7.0 million would be the result of the same calculation that produced the $1,007,025 on the schedule)</w:t>
      </w:r>
    </w:p>
    <w:p>
      <w:pPr>
        <w:pStyle w:val="Normal"/>
        <w:rPr/>
      </w:pPr>
      <w:r>
        <w:rPr/>
      </w:r>
    </w:p>
    <w:p>
      <w:pPr>
        <w:pStyle w:val="Normal"/>
        <w:rPr/>
      </w:pPr>
      <w:r>
        <w:rPr/>
      </w:r>
    </w:p>
    <w:p>
      <w:pPr>
        <w:pStyle w:val="Heading1"/>
        <w:ind w:hanging="0" w:start="0"/>
        <w:rPr/>
      </w:pPr>
      <w:r>
        <w:rPr/>
        <w:t>Other SLA/Imbalance Modifications</w:t>
      </w:r>
    </w:p>
    <w:p>
      <w:pPr>
        <w:pStyle w:val="Normal"/>
        <w:numPr>
          <w:ilvl w:val="0"/>
          <w:numId w:val="5"/>
        </w:numPr>
        <w:rPr/>
      </w:pPr>
      <w:r>
        <w:rPr/>
        <w:t>Northern is willing to work with shippers to determine whether and how in-kind imbalance resolution may work and if different imbalance resolution options, i.e., cash-out or in-kind, can be implemented on Northern’s system.  Northern and the Customers will establish a Northern-Customer Operational Team that will work on procedures for in-kind imbalance resolution to be effective November 1, 2002.</w:t>
      </w:r>
    </w:p>
    <w:p>
      <w:pPr>
        <w:pStyle w:val="Normal"/>
        <w:rPr/>
      </w:pPr>
      <w:r>
        <w:rPr/>
      </w:r>
    </w:p>
    <w:p>
      <w:pPr>
        <w:pStyle w:val="Normal"/>
        <w:numPr>
          <w:ilvl w:val="0"/>
          <w:numId w:val="8"/>
        </w:numPr>
        <w:rPr>
          <w:u w:val="single"/>
        </w:rPr>
      </w:pPr>
      <w:r>
        <w:rPr/>
        <w:t>The Northern-Customer Operational team will work to implement parameters for Northern’s purchases and sales of gas associated with imbalance management.  Upon agreement of the operational parameters, the Cap will be eliminated, but in no event will the CAP extend beyond November 1, 2002.</w:t>
      </w:r>
    </w:p>
    <w:p>
      <w:pPr>
        <w:pStyle w:val="Normal"/>
        <w:rPr>
          <w:u w:val="single"/>
        </w:rPr>
      </w:pPr>
      <w:r>
        <w:rPr>
          <w:u w:val="single"/>
        </w:rPr>
      </w:r>
    </w:p>
    <w:p>
      <w:pPr>
        <w:pStyle w:val="Normal"/>
        <w:numPr>
          <w:ilvl w:val="0"/>
          <w:numId w:val="8"/>
        </w:numPr>
        <w:rPr>
          <w:u w:val="single"/>
        </w:rPr>
      </w:pPr>
      <w:r>
        <w:rPr/>
        <w:t xml:space="preserve">The calculation of the System MIP will be revised to eliminate one Field Area point (MIDs 1-6) and to implement a 10-day lag.  The calculation of the Field Area MIP will remain the same as currently in the tariff.   </w:t>
      </w:r>
    </w:p>
    <w:p>
      <w:pPr>
        <w:pStyle w:val="Normal"/>
        <w:rPr>
          <w:u w:val="single"/>
        </w:rPr>
      </w:pPr>
      <w:r>
        <w:rPr>
          <w:u w:val="single"/>
        </w:rPr>
      </w:r>
    </w:p>
    <w:p>
      <w:pPr>
        <w:pStyle w:val="Normal"/>
        <w:numPr>
          <w:ilvl w:val="0"/>
          <w:numId w:val="8"/>
        </w:numPr>
        <w:rPr>
          <w:u w:val="single"/>
        </w:rPr>
      </w:pPr>
      <w:r>
        <w:rPr/>
        <w:t>Tiering of the MIPs will continue but, for calculating the tiering imbalance percentages, MPS and pooled volumes that do not represent physical transportation will be eliminated from the denominator. (to be clarified further)</w:t>
      </w:r>
    </w:p>
    <w:p>
      <w:pPr>
        <w:pStyle w:val="Normal"/>
        <w:rPr>
          <w:u w:val="single"/>
        </w:rPr>
      </w:pPr>
      <w:r>
        <w:rPr>
          <w:u w:val="single"/>
        </w:rPr>
      </w:r>
    </w:p>
    <w:p>
      <w:pPr>
        <w:pStyle w:val="Normal"/>
        <w:numPr>
          <w:ilvl w:val="0"/>
          <w:numId w:val="8"/>
        </w:numPr>
        <w:rPr>
          <w:u w:val="single"/>
        </w:rPr>
      </w:pPr>
      <w:r>
        <w:rPr/>
        <w:t>Northern will separately record Cash and Liability for SLA account for financial reporting only.</w:t>
      </w:r>
    </w:p>
    <w:p>
      <w:pPr>
        <w:pStyle w:val="Normal"/>
        <w:rPr>
          <w:u w:val="single"/>
        </w:rPr>
      </w:pPr>
      <w:r>
        <w:rPr>
          <w:u w:val="single"/>
        </w:rPr>
      </w:r>
    </w:p>
    <w:p>
      <w:pPr>
        <w:pStyle w:val="Normal"/>
        <w:numPr>
          <w:ilvl w:val="0"/>
          <w:numId w:val="8"/>
        </w:numPr>
        <w:rPr>
          <w:u w:val="single"/>
        </w:rPr>
      </w:pPr>
      <w:r>
        <w:rPr/>
        <w:t>Northern and Customers accept the settlement SLA arrangement (no section 4 or section 5 filings) until next general rate case.</w:t>
      </w:r>
    </w:p>
    <w:p>
      <w:pPr>
        <w:pStyle w:val="Normal"/>
        <w:rPr>
          <w:u w:val="single"/>
        </w:rPr>
      </w:pPr>
      <w:r>
        <w:rPr>
          <w:u w:val="single"/>
        </w:rPr>
      </w:r>
    </w:p>
    <w:p>
      <w:pPr>
        <w:pStyle w:val="Normal"/>
        <w:numPr>
          <w:ilvl w:val="0"/>
          <w:numId w:val="8"/>
        </w:numPr>
        <w:rPr>
          <w:u w:val="single"/>
        </w:rPr>
      </w:pPr>
      <w:r>
        <w:rPr/>
        <w:t>Northern and the Customers are free to raise issues concerning imbalance management and costs in next general rate case.</w:t>
      </w:r>
    </w:p>
    <w:p>
      <w:pPr>
        <w:pStyle w:val="Normal"/>
        <w:rPr>
          <w:u w:val="single"/>
        </w:rPr>
      </w:pPr>
      <w:r>
        <w:rPr>
          <w:u w:val="single"/>
        </w:rPr>
      </w:r>
    </w:p>
    <w:p>
      <w:pPr>
        <w:pStyle w:val="Normal"/>
        <w:rPr>
          <w:u w:val="single"/>
        </w:rPr>
      </w:pPr>
      <w:r>
        <w:rPr>
          <w:u w:val="single"/>
        </w:rPr>
        <w:t>Carlton:</w:t>
      </w:r>
    </w:p>
    <w:p>
      <w:pPr>
        <w:pStyle w:val="Normal"/>
        <w:rPr>
          <w:u w:val="single"/>
        </w:rPr>
      </w:pPr>
      <w:r>
        <w:rPr>
          <w:u w:val="single"/>
        </w:rPr>
      </w:r>
    </w:p>
    <w:p>
      <w:pPr>
        <w:pStyle w:val="Normal"/>
        <w:numPr>
          <w:ilvl w:val="0"/>
          <w:numId w:val="7"/>
        </w:numPr>
        <w:rPr/>
      </w:pPr>
      <w:r>
        <w:rPr/>
        <w:t>Fixed Carlton surcharge of  $0.0175; ANR buyout amount of $0.0175; Small Customer buy-out amount of $0.2625.  All other components of present Carlton Settlement unchanged.</w:t>
      </w:r>
    </w:p>
    <w:p>
      <w:pPr>
        <w:pStyle w:val="Header"/>
        <w:tabs>
          <w:tab w:val="clear" w:pos="4320"/>
          <w:tab w:val="clear" w:pos="8640"/>
        </w:tabs>
        <w:rPr/>
      </w:pPr>
      <w:r>
        <w:rPr/>
      </w:r>
    </w:p>
    <w:p>
      <w:pPr>
        <w:pStyle w:val="Normal"/>
        <w:numPr>
          <w:ilvl w:val="0"/>
          <w:numId w:val="7"/>
        </w:numPr>
        <w:rPr/>
      </w:pPr>
      <w:r>
        <w:rPr/>
        <w:t>Northern will withdraw appeal in D.C. Circuit No. 98-1364.</w:t>
      </w:r>
    </w:p>
    <w:p>
      <w:pPr>
        <w:pStyle w:val="Normal"/>
        <w:rPr/>
      </w:pPr>
      <w:r>
        <w:rPr/>
      </w:r>
    </w:p>
    <w:p>
      <w:pPr>
        <w:pStyle w:val="Normal"/>
        <w:numPr>
          <w:ilvl w:val="0"/>
          <w:numId w:val="7"/>
        </w:numPr>
        <w:rPr/>
      </w:pPr>
      <w:r>
        <w:rPr/>
        <w:t>Northern and Customers free to challenge any aspect of current Carlton Settlement in next general rate case.</w:t>
      </w:r>
    </w:p>
    <w:p>
      <w:pPr>
        <w:pStyle w:val="Normal"/>
        <w:rPr/>
      </w:pPr>
      <w:r>
        <w:rPr/>
      </w:r>
    </w:p>
    <w:p>
      <w:pPr>
        <w:pStyle w:val="Normal"/>
        <w:numPr>
          <w:ilvl w:val="0"/>
          <w:numId w:val="7"/>
        </w:numPr>
        <w:rPr/>
      </w:pPr>
      <w:r>
        <w:rPr/>
        <w:t>Eliminate annual “opt-out” open season.</w:t>
      </w:r>
    </w:p>
    <w:p>
      <w:pPr>
        <w:pStyle w:val="Normal"/>
        <w:rPr/>
      </w:pPr>
      <w:r>
        <w:rPr/>
      </w:r>
    </w:p>
    <w:p>
      <w:pPr>
        <w:pStyle w:val="Normal"/>
        <w:numPr>
          <w:ilvl w:val="0"/>
          <w:numId w:val="7"/>
        </w:numPr>
        <w:rPr/>
      </w:pPr>
      <w:r>
        <w:rPr/>
        <w:t>Northern will withdraw the 3-½ hour notice proposal.</w:t>
      </w:r>
    </w:p>
    <w:p>
      <w:pPr>
        <w:pStyle w:val="Normal"/>
        <w:rPr/>
      </w:pPr>
      <w:r>
        <w:rPr/>
      </w:r>
    </w:p>
    <w:p>
      <w:pPr>
        <w:pStyle w:val="Normal"/>
        <w:rPr/>
      </w:pPr>
      <w:r>
        <w:rPr/>
        <w:t>In the alternative, the Carlton Docket No. RP01-382 can be dropped from this Settlement Offer.</w:t>
      </w:r>
    </w:p>
    <w:p>
      <w:pPr>
        <w:pStyle w:val="Normal"/>
        <w:rPr/>
      </w:pPr>
      <w:r>
        <w:rPr/>
      </w:r>
    </w:p>
    <w:p>
      <w:pPr>
        <w:pStyle w:val="Normal"/>
        <w:rPr/>
      </w:pPr>
      <w:r>
        <w:rPr>
          <w:u w:val="single"/>
        </w:rPr>
        <w:t>Other</w:t>
      </w:r>
      <w:r>
        <w:rPr/>
        <w:t>:</w:t>
      </w:r>
    </w:p>
    <w:p>
      <w:pPr>
        <w:pStyle w:val="Normal"/>
        <w:rPr>
          <w:u w:val="single"/>
        </w:rPr>
      </w:pPr>
      <w:r>
        <w:rPr>
          <w:u w:val="single"/>
        </w:rPr>
      </w:r>
    </w:p>
    <w:p>
      <w:pPr>
        <w:pStyle w:val="Normal"/>
        <w:numPr>
          <w:ilvl w:val="0"/>
          <w:numId w:val="2"/>
        </w:numPr>
        <w:rPr>
          <w:u w:val="single"/>
        </w:rPr>
      </w:pPr>
      <w:r>
        <w:rPr/>
        <w:t>Penalties remain as issue in Order No. 637 docket (i.e., no crediting to SLA balance as result of this Settlement).</w:t>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3</w:t>
    </w:r>
    <w:r>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Privileged and Confidential</w:t>
    </w:r>
  </w:p>
  <w:p>
    <w:pPr>
      <w:pStyle w:val="Header"/>
      <w:jc w:val="end"/>
      <w:rPr>
        <w:b/>
        <w:bCs/>
      </w:rPr>
    </w:pPr>
    <w:r>
      <w:rPr>
        <w:b/>
        <w:bCs/>
      </w:rPr>
      <w:t>For Settlement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2001-07-19T09:42:00Z</dcterms:created>
  <dc:creator>]</dc:creator>
  <dc:description/>
  <dc:language>en-CA</dc:language>
  <cp:lastModifiedBy>skirk</cp:lastModifiedBy>
  <cp:lastPrinted>2001-07-19T07:24:00Z</cp:lastPrinted>
  <dcterms:modified xsi:type="dcterms:W3CDTF">2001-07-19T11:54:00Z</dcterms:modified>
  <cp:revision>6</cp:revision>
  <dc:subject/>
  <dc:title>Outline of </dc:title>
</cp:coreProperties>
</file>