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July 16, 2001</w:t>
      </w:r>
    </w:p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075"/>
        <w:gridCol w:w="307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3040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7/13/01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8/2/01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Should Be of Interest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18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Normal"/>
              <w:jc w:val="both"/>
              <w:rPr/>
            </w:pPr>
            <w:r>
              <w:rPr/>
              <w:t>The purpose of this filing is to request Commission authorization to implement a new service allowing telecommunications carriers and cable TV companies to place fiber optic cable in SoCalGas’ active gas pipelines under tariffed rates, terms and conditions under new Schedule No. G-FIG.  Under the proposed tariff, SoCalGas will recover all out-of-pocket costs for making its pipelines ready for the installation of fiber optic cable and on-going operating and maintenance costs, plus a recurring annual ownership charge.  A variety of terms and conditions largely based on the Commission’s rules for access to poles and conduits of local exchange carriers and major electric utilities are also incorporated in Schedule G-FIG. The new tariff schedule and service are described in greater detail in the attached tariffs.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My thought is that this filing might be of particular interest to the Enron broadband and telecommunications personnel.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Flus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432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2001-07-16T23:03:00Z</dcterms:created>
  <dc:creator>Arter &amp; Hadden</dc:creator>
  <dc:description/>
  <dc:language>en-CA</dc:language>
  <cp:lastModifiedBy>Daniel W. Douglass</cp:lastModifiedBy>
  <cp:lastPrinted>2001-07-12T19:53:00Z</cp:lastPrinted>
  <dcterms:modified xsi:type="dcterms:W3CDTF">2001-07-16T23:07:00Z</dcterms:modified>
  <cp:revision>3</cp:revision>
  <dc:subject/>
  <dc:title>A</dc:title>
</cp:coreProperties>
</file>