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June 26, 2001</w:t>
      </w:r>
    </w:p>
    <w:p>
      <w:pPr>
        <w:pStyle w:val="Body"/>
        <w:spacing w:before="0" w:after="0"/>
        <w:ind w:hanging="0" w:end="0"/>
        <w:jc w:val="center"/>
        <w:rPr>
          <w:b/>
          <w:bCs/>
          <w:u w:val="single"/>
        </w:rPr>
      </w:pPr>
      <w:r>
        <w:rPr>
          <w:b/>
          <w:bCs/>
          <w:u w:val="single"/>
        </w:rPr>
      </w:r>
    </w:p>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3034</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rPr/>
            </w:pPr>
            <w:r>
              <w:rPr/>
              <w:t>This routine monthly filing updates the June 2001 Buy-Back Rates in Schedule No. G-IMB.</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rHeight w:val="1416" w:hRule="atLeast"/>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revises the listed tariff rate schedules by updating the retail and wholesale Core Subscription Procurement Charges for July 2001.</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routine monthly filing revises the listed tariff rate schedules by updating the Core Procurement Charge for residential customers and for core commercial and industrial customers for July 2001.</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7/2/01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7/12/01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The purpose of this filing is to comply with D.01-05-033, issued on May 3 in SoCalGas’ Application 00-11-011 on Rapid Deployment of Low Income Assistance Programs During the Energy Crisis and the June 15 ALJ Ruling on Filing Procedures to Implement Assembly Bill X1 3.</w:t>
            </w:r>
          </w:p>
          <w:p>
            <w:pPr>
              <w:pStyle w:val="Normal"/>
              <w:jc w:val="both"/>
              <w:rPr/>
            </w:pPr>
            <w:r>
              <w:rPr/>
            </w:r>
          </w:p>
        </w:tc>
      </w:tr>
    </w:tbl>
    <w:p>
      <w:pPr>
        <w:pStyle w:val="Body"/>
        <w:spacing w:before="0" w:after="0"/>
        <w:ind w:hanging="0" w:end="0"/>
        <w:jc w:val="center"/>
        <w:rPr/>
      </w:pPr>
      <w:r>
        <w:rPr/>
      </w:r>
    </w:p>
    <w:p>
      <w:pPr>
        <w:pStyle w:val="Body"/>
        <w:spacing w:before="0" w:after="0"/>
        <w:ind w:hanging="0" w:end="0"/>
        <w:jc w:val="center"/>
        <w:rPr/>
      </w:pPr>
      <w:r>
        <w:rPr/>
      </w:r>
    </w:p>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3038</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7/6/01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7/26/01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advice filing notifies the Commission of the creation of new affiliates as defined in the Affiliate Transaction Rules.  The utility states that no unusual or unique circumstances exist that would require affiliate transaction rule implementation measures for the new affiliates beyond those already identified by the utility.  The three new affiliates are Risk Capital Management Partners LLP, Sempra Energy (Switzerland) Holdings Sarl and Sempra Oil Trading (Suisse) Sarl.</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3039</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7/31/01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rPr/>
            </w:pPr>
            <w:r>
              <w:rPr/>
              <w:t>Certain areas in SoCalGas’ service territory have been incorporated into cities and others have ceased to exist since the utility last updated its List of Cities and Communities Served in 1991. This filing updates the list.</w:t>
            </w:r>
          </w:p>
          <w:p>
            <w:pPr>
              <w:pStyle w:val="Normal"/>
              <w:jc w:val="both"/>
              <w:rPr/>
            </w:pPr>
            <w:r>
              <w:rPr/>
            </w:r>
          </w:p>
        </w:tc>
      </w:tr>
    </w:tbl>
    <w:p>
      <w:pPr>
        <w:pStyle w:val="Normal"/>
        <w:rPr/>
      </w:pPr>
      <w:r>
        <w:rPr/>
      </w:r>
    </w:p>
    <w:p>
      <w:pPr>
        <w:pStyle w:val="NormalFlush"/>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snapToGrid w:val="false"/>
            <w:rPr/>
          </w:pPr>
          <w:r>
            <w:rPr/>
          </w:r>
        </w:p>
        <w:p>
          <w:pPr>
            <w:pStyle w:val="FooterTxt"/>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op w:val="dashed" w:sz="6" w:space="0" w:color="auto"/>
            <w:start w:val="dashed" w:sz="6" w:space="0" w:color="auto"/>
            <w:bottom w:val="dashed" w:sz="6" w:space="0" w:color="auto"/>
            <w:end w:val="dashed" w:sz="6" w:space="0" w:color="auto"/>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2001-07-13T00:07:00Z</dcterms:created>
  <dc:creator>Arter &amp; Hadden</dc:creator>
  <dc:description/>
  <dc:language>en-CA</dc:language>
  <cp:lastModifiedBy>Daniel W. Douglass</cp:lastModifiedBy>
  <cp:lastPrinted>2001-07-12T19:53:00Z</cp:lastPrinted>
  <dcterms:modified xsi:type="dcterms:W3CDTF">2001-07-13T00:23:00Z</dcterms:modified>
  <cp:revision>4</cp:revision>
  <dc:subject/>
  <dc:title>A</dc:title>
</cp:coreProperties>
</file>