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0"/>
        <w:ind w:hanging="0" w:end="0"/>
        <w:jc w:val="center"/>
        <w:rPr>
          <w:b/>
          <w:bCs/>
          <w:u w:val="single"/>
        </w:rPr>
      </w:pPr>
      <w:r>
        <w:rPr>
          <w:b/>
          <w:bCs/>
          <w:u w:val="single"/>
        </w:rPr>
        <w:t>SoCalGas Advice Letter Summary</w:t>
        <w:br/>
        <w:br/>
        <w:t>July 12, 2001</w:t>
      </w:r>
    </w:p>
    <w:p>
      <w:pPr>
        <w:pStyle w:val="Body"/>
        <w:spacing w:before="0" w:after="0"/>
        <w:ind w:hanging="0" w:end="0"/>
        <w:jc w:val="center"/>
        <w:rPr>
          <w:b/>
          <w:bCs/>
          <w:u w:val="single"/>
        </w:rPr>
      </w:pPr>
      <w:r>
        <w:rPr>
          <w:b/>
          <w:bCs/>
          <w:u w:val="single"/>
        </w:rPr>
      </w:r>
    </w:p>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3034</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rPr/>
            </w:pPr>
            <w:r>
              <w:rPr/>
              <w:t>This routine monthly filing updates the June 2001 Buy-Back Rates in Schedule No. G-IMB.</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rHeight w:val="1416" w:hRule="atLeast"/>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jc w:val="both"/>
              <w:rPr/>
            </w:pPr>
            <w:r>
              <w:rPr/>
              <w:t>This routine monthly filing revises the listed tariff rate schedules by updating the retail and wholesale Core Subscription Procurement Charges for July 2001.</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3036</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6/29/01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7/19/01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routine monthly filing revises the listed tariff rate schedules by updating the Core Procurement Charge for residential customers and for core commercial and industrial customers for July 2001.</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3037</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7/2/01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7/12/01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The purpose of this filing is to comply with D.01-05-033, issued on May 3 in SoCalGas’ Application 00-11-011 on Rapid Deployment of Low Income Assistance Programs During the Energy Crisis and the June 15 ALJ Ruling on Filing Procedures to Implement Assembly Bill X1 3.</w:t>
            </w:r>
          </w:p>
          <w:p>
            <w:pPr>
              <w:pStyle w:val="Normal"/>
              <w:jc w:val="both"/>
              <w:rPr/>
            </w:pPr>
            <w:r>
              <w:rPr/>
            </w:r>
          </w:p>
        </w:tc>
      </w:tr>
    </w:tbl>
    <w:p>
      <w:pPr>
        <w:pStyle w:val="Body"/>
        <w:spacing w:before="0" w:after="0"/>
        <w:ind w:hanging="0" w:end="0"/>
        <w:jc w:val="center"/>
        <w:rPr/>
      </w:pPr>
      <w:r>
        <w:rPr/>
      </w:r>
    </w:p>
    <w:p>
      <w:pPr>
        <w:pStyle w:val="Body"/>
        <w:spacing w:before="0" w:after="0"/>
        <w:ind w:hanging="0" w:end="0"/>
        <w:jc w:val="center"/>
        <w:rPr/>
      </w:pPr>
      <w:r>
        <w:rPr/>
      </w:r>
    </w:p>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3038</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7/6/01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7/26/01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BodyText3"/>
              <w:rPr/>
            </w:pPr>
            <w:r>
              <w:rPr/>
              <w:t>This advice filing notifies the Commission of the creation of new affiliates as defined in the Affiliate Transaction Rules.  The utility states that no unusual or unique circumstances exist that would require affiliate transaction rule implementation measures for the new affiliates beyond those already identified by the utility.  The three new affiliates are Risk Capital Management Partners LLP, Sempra Energy (Switzerland) Holdings Sarl and Sempra Oil Trading (Suisse) Sarl.</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075"/>
        <w:gridCol w:w="3078"/>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3039</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7/11/01</w:t>
            </w:r>
          </w:p>
        </w:tc>
        <w:tc>
          <w:tcPr>
            <w:tcW w:w="207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7/31/01</w:t>
            </w:r>
          </w:p>
        </w:tc>
        <w:tc>
          <w:tcPr>
            <w:tcW w:w="307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180" w:start="180" w:end="180"/>
              <w:jc w:val="both"/>
              <w:rPr>
                <w:b/>
                <w:bCs/>
              </w:rPr>
            </w:pPr>
            <w:r>
              <w:rPr>
                <w:b/>
                <w:bCs/>
              </w:rPr>
              <w:t>Analysis:</w:t>
            </w:r>
          </w:p>
          <w:p>
            <w:pPr>
              <w:pStyle w:val="Normal"/>
              <w:rPr/>
            </w:pPr>
            <w:r>
              <w:rPr/>
              <w:t>Certain areas in SoCalGas’ service territory have been incorporated into cities and others have ceased to exist since the utility last updated its List of Cities and Communities Served in 1991. This filing updates the list.</w:t>
            </w:r>
          </w:p>
          <w:p>
            <w:pPr>
              <w:pStyle w:val="Normal"/>
              <w:jc w:val="both"/>
              <w:rPr/>
            </w:pPr>
            <w:r>
              <w:rPr/>
            </w:r>
          </w:p>
        </w:tc>
      </w:tr>
    </w:tbl>
    <w:p>
      <w:pPr>
        <w:pStyle w:val="Normal"/>
        <w:rPr/>
      </w:pPr>
      <w:r>
        <w:rPr/>
      </w:r>
    </w:p>
    <w:p>
      <w:pPr>
        <w:pStyle w:val="NormalFlush"/>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snapToGrid w:val="false"/>
            <w:rPr/>
          </w:pPr>
          <w:r>
            <w:rPr/>
          </w:r>
        </w:p>
        <w:p>
          <w:pPr>
            <w:pStyle w:val="FooterTxt"/>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op w:val="dashed" w:sz="6" w:space="0" w:color="auto"/>
            <w:start w:val="dashed" w:sz="6" w:space="0" w:color="auto"/>
            <w:bottom w:val="dashed" w:sz="6" w:space="0" w:color="auto"/>
            <w:end w:val="dashed" w:sz="6" w:space="0" w:color="auto"/>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2001-07-13T00:07:00Z</dcterms:created>
  <dc:creator>Arter &amp; Hadden</dc:creator>
  <dc:description/>
  <dc:language>en-CA</dc:language>
  <cp:lastModifiedBy>Daniel W. Douglass</cp:lastModifiedBy>
  <cp:lastPrinted>2001-07-12T19:53:00Z</cp:lastPrinted>
  <dcterms:modified xsi:type="dcterms:W3CDTF">2001-07-16T23:03:00Z</dcterms:modified>
  <cp:revision>6</cp:revision>
  <dc:subject/>
  <dc:title>A</dc:title>
</cp:coreProperties>
</file>