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Edison Advice Letter Summary</w:t>
        <w:br/>
        <w:br/>
        <w:t>July 12, 2001</w:t>
      </w:r>
    </w:p>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1542-E-B</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6/27/01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[None specified]</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widowControl/>
              <w:rPr/>
            </w:pPr>
            <w:r>
              <w:rPr/>
              <w:t>On April 11, Senate Bill X1-5 went into effect.  It specifies that SCE, as well as other public utility electrical corporations, must develop and offer its customers, on or before May 30, 2001, the opportunity to participate in a demand reduction program in addition to other programs developed by the Commission.  The program required by Section 740.10 of the PU Code, known as the Scheduled Load Reduction Program, identifies specific periods coincident with morning or evening system peak conditions determined by the CAISO within which the customer agrees to reduce a preset amount of its load. This advice filing modifies Schedule SLRP and the Scheduled Load Reduction Program to include clarifications ordered in Resolution E-3739 and to reflect modifications based upon discussions with the Energy Division. This advice filing supplements Advice 1542-E in part, and Advice 1542-E-A in its entirety.</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1553-E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6/28/01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7/18/01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widowControl/>
              <w:rPr/>
            </w:pPr>
            <w:r>
              <w:rPr/>
              <w:t>This advice filing updates SCE's Rate Component Tables of each rate schedule and Preliminary Statement, Part R, Transition Revenue Account (TRA), to reflect the impact of the Reliability Services Balancing Account Adjustment Rate pursuant to a Settlement of the Reliability Services Charge filed in FERC Docket No.R01-315-000</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1529-E-B</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6/28/01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7/18/01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widowControl/>
              <w:rPr/>
            </w:pPr>
            <w:r>
              <w:rPr/>
              <w:t>On April 5, 2001, SCE filed Advice 1529-E that proposed to withdraw Schedule PX, Power Exchange Energy, and establish and replace it with Schedule PE, Procured Energy. Further, Advice 1529-E: (1) modified the Procured Energy Cost calculation on an interim basis to reflect SCE’s termination of energy procurement from the PX and the current state of the power market; (2) revised tariffs to change all relevant references from PX to PE and (3) suspended Schedules RTP-3 and RTP-3-GS. On April 18, 2001, SCE filed Advice 1529-E-A to supplement in part Advice 1529-E. Advice 1529-E-A requested Commission authorization to modify SCE’s customer Bill Formats where the Procured Energy Charge information is provided.</w:t>
            </w:r>
          </w:p>
          <w:p>
            <w:pPr>
              <w:pStyle w:val="WW-BodyText2"/>
              <w:widowControl/>
              <w:rPr/>
            </w:pPr>
            <w:r>
              <w:rPr/>
            </w:r>
          </w:p>
          <w:p>
            <w:pPr>
              <w:pStyle w:val="WW-BodyText2"/>
              <w:widowControl/>
              <w:rPr/>
            </w:pPr>
            <w:r>
              <w:rPr/>
              <w:t xml:space="preserve">This advice filing supplements in part Advice 1529-E and Advice 1529-E-A to (1) revise and include Schedule DM to change all relevant references from Power Exchange (PX) to Procured Energy (PE); (2) correct an error in the display of the proposed Procured Energy Credit on the DA and Non-DA sample bills; (3) include revised wording as it was originally intended in Advice 1529-E-A for both sample bills’ Footnote 1 found on the second page of the sample bill; and (4) include Energy Statement, Form 14-574, Formats A.1 through L.1 to display the reference change from PX to PE. SCE states that the proposed changes are “minor in impact and consistent with the intent and description of changes in Advice 1529-E and 1529-E-A.” </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1554-E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6/29/01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7/19/01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widowControl/>
              <w:rPr/>
            </w:pPr>
            <w:r>
              <w:rPr/>
              <w:t xml:space="preserve">In compliance with D.95-07-055, SCE submits for approval an investment management agreement appointing Pacific Investment Management Company as a fixed-income manager of SCE’s qualified nuclear decommissioning trust. </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1555-E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7/2/01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7/12/01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Normal"/>
              <w:widowControl/>
              <w:rPr/>
            </w:pPr>
            <w:r>
              <w:rPr/>
              <w:t>This advice filing includes a proposal and information in support of SBX1 5 allocations for SCE’s CARE and LIEE programs. In addition, SCE seeks Commission approval to use SBX1 5 LIEE funds to implement the attached proposals SCE has received to establish Cool Centers in SCE’s hot desert climates.</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1556-E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7/3/01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[None specified]</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widowControl/>
              <w:rPr/>
            </w:pPr>
            <w:r>
              <w:rPr/>
              <w:t>This advice filing modifies Schedule OBMC, Optional Binding Mandatory Curtailment, and Form 14-740, Optional Binding Mandatory Curtailment Agreement Between Customer and SCE to comply with the provisions set forth in D.01-06-087 which modifies the Optional Binding Mandatory Curtailment Program authorized in Decision No. 01-04-006.</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1557-E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7/6/01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7/26/01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Normal"/>
              <w:widowControl/>
              <w:rPr/>
            </w:pPr>
            <w:r>
              <w:rPr/>
              <w:t>This advice filing revises SCE’s Schedule CC-DSF, Customer Choice-Discretionary Service Fees, and Schedule ESP-DSF, Energy Service Provider-Discretionary Service Fees to: 1) include a new level of service offered through SCE’s AMICOS service; and 2) add to the current list of SCE’s AMICOS service charges to reflect the cost of providing an additional level of service.</w:t>
            </w:r>
          </w:p>
          <w:p>
            <w:pPr>
              <w:pStyle w:val="Normal"/>
              <w:widowControl/>
              <w:rPr>
                <w:b/>
                <w:bCs/>
              </w:rPr>
            </w:pPr>
            <w:r>
              <w:rPr>
                <w:b/>
                <w:bCs/>
              </w:rPr>
            </w:r>
          </w:p>
          <w:p>
            <w:pPr>
              <w:pStyle w:val="WW-BodyText2"/>
              <w:widowControl/>
              <w:rPr/>
            </w:pPr>
            <w:r>
              <w:rPr/>
              <w:t>On October 30, 1997, the Commission issued D.97-10-087 regarding the utility distribution companies’ Direct Access Implementation Plans, along with each utility’s pro forma tariffs. In compliance with D.97-10-087, SCE filed Advice 1268-E on November 25, 1997, to submit SCE’s Direct Access Tariffs, which included, as new tariffs, the Catalog of Customer Choices and the Directory of Products and Services for ESPs. On October 19, 1998, SCE filed Advice 1343-E to modify these schedules to, among other things, include new provisions and revise existing provisions, and to change the name of each schedule to better reflect their applicability to discretionary services. This resulted in the currently effective Schedules CC-DSF and ESP-DSF.</w:t>
            </w:r>
          </w:p>
          <w:p>
            <w:pPr>
              <w:pStyle w:val="WW-BodyText2"/>
              <w:widowControl/>
              <w:rPr/>
            </w:pPr>
            <w:r>
              <w:rPr/>
            </w:r>
          </w:p>
          <w:p>
            <w:pPr>
              <w:pStyle w:val="Normal"/>
              <w:widowControl/>
              <w:jc w:val="both"/>
              <w:rPr/>
            </w:pPr>
            <w:r>
              <w:rPr/>
              <w:t>On June 22, 1999, SCE submitted its Direct Access Service Fees Application (A.99-06-040)  regarding Discretionary and Non-Discretionary Fees. Schedules CC-DSF and ESP-DSF are now being modified to include a new level of SCE AMICOS service not previously offered. Currently, SCE’s AMICOS TM service is only offered on an hourly, daily, or monthly basis. But SCE’s AMICOS service is now capable of providing customers fifteen-minute updates of usage data, in</w:t>
            </w:r>
          </w:p>
          <w:p>
            <w:pPr>
              <w:pStyle w:val="Normal"/>
              <w:widowControl/>
              <w:rPr/>
            </w:pPr>
            <w:r>
              <w:rPr/>
              <w:t>addition to the current offering of SCE’s AMICOS service of hourly, daily, or monthly updates. The cost of providing this new level of AMICOS service is $275.00 per meter, per month.</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1558-E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7/6/01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7/26/01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widowControl/>
              <w:rPr/>
            </w:pPr>
            <w:r>
              <w:rPr/>
              <w:t>This advice filing proposes to modify Electric Vehicle Program in order to extend the program period and the EVAC mechanism by one year.  Currently, the EV program period is defined as the period of time beginning on January 1, 1996, and ending on December 31, 2001. SCE is seeking to extend the EVAC mechanism for one year until December 31, 2002.</w:t>
            </w:r>
          </w:p>
          <w:p>
            <w:pPr>
              <w:pStyle w:val="WW-BodyText2"/>
              <w:widowControl/>
              <w:rPr/>
            </w:pPr>
            <w:r>
              <w:rPr/>
            </w:r>
          </w:p>
        </w:tc>
      </w:tr>
    </w:tbl>
    <w:p>
      <w:pPr>
        <w:pStyle w:val="Body"/>
        <w:widowControl/>
        <w:spacing w:before="0" w:after="0"/>
        <w:ind w:hanging="0" w:end="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296"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op w:val="dashed" w:sz="6" w:space="0" w:color="auto"/>
            <w:start w:val="dashed" w:sz="6" w:space="0" w:color="auto"/>
            <w:bottom w:val="dashed" w:sz="6" w:space="0" w:color="auto"/>
            <w:end w:val="dashed" w:sz="6" w:space="0" w:color="auto"/>
          </w:tcBorders>
        </w:tcPr>
        <w:p>
          <w:pPr>
            <w:pStyle w:val="FooterTxt"/>
            <w:widowControl/>
            <w:snapToGrid w:val="false"/>
            <w:rPr/>
          </w:pPr>
          <w:r>
            <w:rPr/>
          </w:r>
        </w:p>
        <w:p>
          <w:pPr>
            <w:pStyle w:val="FooterTxt"/>
            <w:widowControl/>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3</w:t>
          </w:r>
          <w:r>
            <w:rPr>
              <w:rStyle w:val="PageNumber"/>
              <w:sz w:val="24"/>
              <w:szCs w:val="24"/>
            </w:rPr>
            <w:fldChar w:fldCharType="end"/>
          </w:r>
          <w:r>
            <w:rPr>
              <w:rStyle w:val="PageNumber"/>
              <w:sz w:val="24"/>
              <w:szCs w:val="24"/>
            </w:rPr>
            <w:t>.</w:t>
          </w:r>
        </w:p>
      </w:tc>
      <w:tc>
        <w:tcPr>
          <w:tcW w:w="3690"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op w:val="dashed" w:sz="6" w:space="0" w:color="auto"/>
            <w:start w:val="dashed" w:sz="6" w:space="0" w:color="auto"/>
            <w:bottom w:val="dashed" w:sz="6" w:space="0" w:color="auto"/>
            <w:end w:val="dashed" w:sz="6" w:space="0" w:color="auto"/>
          </w:tcBorders>
        </w:tcPr>
        <w:p>
          <w:pPr>
            <w:pStyle w:val="FooterTxt"/>
            <w:widowControl/>
            <w:snapToGrid w:val="false"/>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pPr>
          <w:r>
            <w:rPr/>
          </w:r>
        </w:p>
      </w:tc>
      <w:tc>
        <w:tcPr>
          <w:tcW w:w="3686"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SCE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WW-BodyText2">
    <w:name w:val="WW-Body Text 2"/>
    <w:basedOn w:val="Normal"/>
    <w:qFormat/>
    <w:pPr>
      <w:jc w:val="both"/>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2001-07-12T21:16:00Z</dcterms:created>
  <dc:creator>Arter &amp; Hadden</dc:creator>
  <dc:description/>
  <dc:language>en-CA</dc:language>
  <cp:lastModifiedBy>Daniel W. Douglass</cp:lastModifiedBy>
  <cp:lastPrinted>2001-07-12T19:00:00Z</cp:lastPrinted>
  <dcterms:modified xsi:type="dcterms:W3CDTF">2001-07-12T23:30:00Z</dcterms:modified>
  <cp:revision>7</cp:revision>
  <dc:subject/>
  <dc:title>Edison Advice Letter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