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aps/>
        </w:rPr>
      </w:pPr>
      <w:r>
        <w:rPr>
          <w:b/>
          <w:caps/>
        </w:rPr>
        <w:t>First Amendment to Power Purchase Agreement</w:t>
      </w:r>
    </w:p>
    <w:p>
      <w:pPr>
        <w:pStyle w:val="Normal"/>
        <w:jc w:val="center"/>
        <w:rPr>
          <w:b/>
          <w:caps/>
        </w:rPr>
      </w:pPr>
      <w:r>
        <w:rPr>
          <w:b/>
          <w:caps/>
        </w:rPr>
      </w:r>
    </w:p>
    <w:p>
      <w:pPr>
        <w:pStyle w:val="Normal"/>
        <w:rPr>
          <w:b/>
        </w:rPr>
      </w:pPr>
      <w:r>
        <w:rPr>
          <w:b/>
        </w:rPr>
      </w:r>
    </w:p>
    <w:p>
      <w:pPr>
        <w:pStyle w:val="Normal"/>
        <w:rPr/>
      </w:pPr>
      <w:r>
        <w:rPr/>
        <w:tab/>
        <w:t>THIS FIRST AMENDMENT TO POWER PURCHASE AGREEMENT (this “Amendment”) is made this ___ day of November, 2000, by and between Fountain Valley Power, L.L.C., a Delaware limited liability company (“Seller”), and Public Service Company of Colorado, a Colorado corporation (“PSCo”).</w:t>
      </w:r>
    </w:p>
    <w:p>
      <w:pPr>
        <w:pStyle w:val="Normal"/>
        <w:rPr/>
      </w:pPr>
      <w:r>
        <w:rPr/>
      </w:r>
    </w:p>
    <w:p>
      <w:pPr>
        <w:pStyle w:val="Normal"/>
        <w:spacing w:before="0" w:after="240"/>
        <w:rPr/>
      </w:pPr>
      <w:r>
        <w:rPr/>
        <w:tab/>
        <w:t>WHEREAS, Seller and PSCo entered into that certain Power Purchase Agreement dated October 17, 2000 (the “Agreement”), under which Seller agreed to sell and PSCo agreed to receive and purchase all of the electric generating capacity and energy output from an electric generating facility to be constructed by Seller at Midway, Colorado, and further defined in the Agreement as the “Facility”; and</w:t>
      </w:r>
    </w:p>
    <w:p>
      <w:pPr>
        <w:pStyle w:val="Normal"/>
        <w:spacing w:before="0" w:after="240"/>
        <w:rPr/>
      </w:pPr>
      <w:r>
        <w:rPr/>
        <w:tab/>
        <w:t>WHEREAS, Seller and PSCo have agreed to modify their rights and obligations under the Agreement to the limited extent set forth in this Amendment.</w:t>
      </w:r>
    </w:p>
    <w:p>
      <w:pPr>
        <w:pStyle w:val="Normal"/>
        <w:spacing w:before="0" w:after="240"/>
        <w:rPr/>
      </w:pPr>
      <w:r>
        <w:rPr/>
        <w:tab/>
        <w:t>NOW, THEREFORE, in consideration of the mutual covenants contained herein, the sufficiency of which are hereby acknowledged, Seller and PSCo agree as follows:</w:t>
      </w:r>
    </w:p>
    <w:p>
      <w:pPr>
        <w:pStyle w:val="Normal"/>
        <w:numPr>
          <w:ilvl w:val="0"/>
          <w:numId w:val="1"/>
        </w:numPr>
        <w:spacing w:before="0" w:after="240"/>
        <w:rPr/>
      </w:pPr>
      <w:r>
        <w:rPr/>
        <w:t>Capitalized terms used in this Amendment shall have the same meaning given to such terms under the Agreement.</w:t>
      </w:r>
    </w:p>
    <w:p>
      <w:pPr>
        <w:pStyle w:val="Normal"/>
        <w:numPr>
          <w:ilvl w:val="0"/>
          <w:numId w:val="1"/>
        </w:numPr>
        <w:spacing w:before="0" w:after="240"/>
        <w:rPr/>
      </w:pPr>
      <w:r>
        <w:rPr/>
        <w:t xml:space="preserve">Section 6.4(C) on Page 21 of the Agreement shall be deleted in its entirety and replaced with the following provisions: </w:t>
      </w:r>
    </w:p>
    <w:p>
      <w:pPr>
        <w:pStyle w:val="Normal"/>
        <w:tabs>
          <w:tab w:val="clear" w:pos="720"/>
          <w:tab w:val="left" w:pos="1080" w:leader="none"/>
        </w:tabs>
        <w:spacing w:before="0" w:after="240"/>
        <w:rPr/>
      </w:pPr>
      <w:r>
        <w:rPr/>
        <w:tab/>
        <w:t>“(C) Seller shall have received, on or before December 12, 2000, all necessary internal approvals of this PPA including, without limitation, the approval of Seller’s and Enron Corp.’s respective Boards of Directors, according to such criteria as may be deemed appropriate by such governing bodies, provided that the foregoing approvals may be conditioned upon the following events having occurred on or before December 15, 2000: (i) Seller shall have obtained approval of its pending rezoning application for the Site and its pending special use permit for construction of the Facility on the Site; and (ii) PSCo shall have obtained an affirmative indication, based upon the CPUC’s deliberations at an open meeting of the CPUC, that the CPUC is likely to grant PSCo the required approvals described in Section 18.1(B); provided, further, that if Seller does not provide written notice to PSCo on or before December 15, 2000, stating that either or both of these events have failed to occur (despite the due diligence of the respective Parties to cause them to occur) and that this PPA and the other Project Agreements are therefore terminated, then this condition shall be deemed to have been satisfied;”</w:t>
      </w:r>
    </w:p>
    <w:p>
      <w:pPr>
        <w:pStyle w:val="Normal"/>
        <w:numPr>
          <w:ilvl w:val="0"/>
          <w:numId w:val="1"/>
        </w:numPr>
        <w:spacing w:before="0" w:after="240"/>
        <w:rPr/>
      </w:pPr>
      <w:r>
        <w:rPr/>
        <w:t xml:space="preserve">Section 8.1 on Page 23 of the Agreement shall be amended by inserting the following new subsection (v) to the definition of “AE” or Available Energy: </w:t>
      </w:r>
    </w:p>
    <w:p>
      <w:pPr>
        <w:pStyle w:val="Normal"/>
        <w:spacing w:before="0" w:after="240"/>
        <w:rPr/>
      </w:pPr>
      <w:r>
        <w:rPr/>
      </w:r>
    </w:p>
    <w:p>
      <w:pPr>
        <w:pStyle w:val="Normal"/>
        <w:tabs>
          <w:tab w:val="left" w:pos="720" w:leader="none"/>
          <w:tab w:val="left" w:pos="1440" w:leader="none"/>
          <w:tab w:val="left" w:pos="2160" w:leader="none"/>
          <w:tab w:val="left" w:pos="8820" w:leader="none"/>
        </w:tabs>
        <w:ind w:end="630"/>
        <w:rPr/>
      </w:pPr>
      <w:r>
        <w:rPr/>
        <w:t>“</w:t>
      </w:r>
      <w:r>
        <w:rPr/>
        <w:t>(v)</w:t>
        <w:tab/>
        <w:t>the Facility cannot operate because it has exhausted the limits of the operating restrictions imposed by the applicable air quality permit; provided, that if such permit (or any subsequent amendment thereto) restricts the Facility to consuming less than 5 billion standard cubic feet of natural gas during any rolling twelve (12) month period, then the Facility shall be considered unavailable during those periods when the Facility is unable to operate as a result of such restriction below 5 billion standard cubic feet of natural gas;”</w:t>
      </w:r>
    </w:p>
    <w:p>
      <w:pPr>
        <w:pStyle w:val="Normal"/>
        <w:rPr/>
      </w:pPr>
      <w:r>
        <w:rPr/>
      </w:r>
    </w:p>
    <w:p>
      <w:pPr>
        <w:pStyle w:val="Normal"/>
        <w:rPr/>
      </w:pPr>
      <w:r>
        <w:rPr/>
        <w:t>Existing subsection (v) shall be renumbered as subsection (vi).</w:t>
      </w:r>
    </w:p>
    <w:p>
      <w:pPr>
        <w:pStyle w:val="Normal"/>
        <w:rPr/>
      </w:pPr>
      <w:r>
        <w:rPr/>
      </w:r>
    </w:p>
    <w:p>
      <w:pPr>
        <w:pStyle w:val="Normal"/>
        <w:numPr>
          <w:ilvl w:val="0"/>
          <w:numId w:val="1"/>
        </w:numPr>
        <w:spacing w:before="0" w:after="240"/>
        <w:rPr/>
      </w:pPr>
      <w:r>
        <w:rPr/>
        <w:t>Section 13.5 on Page 48 of the Agreement shall be deleted in its entirety and replaced with the following provisions:</w:t>
      </w:r>
    </w:p>
    <w:p>
      <w:pPr>
        <w:pStyle w:val="Normal"/>
        <w:rPr>
          <w:u w:val="single"/>
        </w:rPr>
      </w:pPr>
      <w:r>
        <w:rPr/>
        <w:tab/>
        <w:t>“13.5</w:t>
        <w:tab/>
      </w:r>
      <w:r>
        <w:rPr>
          <w:u w:val="single"/>
        </w:rPr>
        <w:t>Operating Log</w:t>
      </w:r>
      <w:r>
        <w:rPr/>
        <w:t>.  Seller shall maintain an accurate and up-to-date operating log, in electronic format, at the Facility with records of real and reactive power production for each clock hour; changes in operating status; Scheduled Outage/Deratings and Forced Outages; number of unit start-ups, quantity of gas consumed and air pollutants emitted by the Facility,</w:t>
      </w:r>
      <w:r>
        <w:rPr>
          <w:u w:val="single"/>
        </w:rPr>
        <w:t xml:space="preserve"> </w:t>
      </w:r>
      <w:r>
        <w:rPr/>
        <w:t>and any unusual conditions found during inspections.  Seller must maintain accurate and up-to-date logs of dispatched and scheduled energy, including Test Energy, and other records needed in order to comply with this PPA, including but not limited to clear separation of the hours each unit is operated for the generation of Contract Energy and the hours each unit is operated for other purposes.  Seller shall also maintain hourly metering information from the natural gas meter station.  The hourly metering information shall be in electronic format and shall include but not be limited to MCF, Dth and the Gross Heating Value of the gas delivered by each supplier.  Seller shall also maintain, in electronic format, accurate hourly information regarding energy generated for sales to others.  By the fifth (5th) day of each calendar month, Seller shall submit to PSCo, in electronic format, a copy of the Operating Log for the previous calendar month.  When PSCo reasonably requires such information more frequently than once a month, Seller shall provide such data as reasonably requested by PSCo.”</w:t>
      </w:r>
    </w:p>
    <w:p>
      <w:pPr>
        <w:pStyle w:val="Normal"/>
        <w:rPr>
          <w:u w:val="single"/>
        </w:rPr>
      </w:pPr>
      <w:r>
        <w:rPr>
          <w:u w:val="single"/>
        </w:rPr>
      </w:r>
    </w:p>
    <w:p>
      <w:pPr>
        <w:pStyle w:val="Normal"/>
        <w:rPr/>
      </w:pPr>
      <w:r>
        <w:rPr/>
        <w:tab/>
        <w:t>5.</w:t>
        <w:tab/>
        <w:t>Except as amended herein, the Agreement shall remain in full force and effect between Seller and PSCo.</w:t>
      </w:r>
    </w:p>
    <w:p>
      <w:pPr>
        <w:pStyle w:val="Normal"/>
        <w:rPr/>
      </w:pPr>
      <w:r>
        <w:rPr/>
      </w:r>
    </w:p>
    <w:p>
      <w:pPr>
        <w:pStyle w:val="Normal"/>
        <w:rPr/>
      </w:pPr>
      <w:r>
        <w:rPr/>
        <w:tab/>
        <w:t>6.</w:t>
        <w:tab/>
        <w:t>This Amendment may be executed in any number of counterparts, and each executed counterpart shall have the same force and effect as an original instrument.</w:t>
      </w:r>
    </w:p>
    <w:p>
      <w:pPr>
        <w:pStyle w:val="Normal"/>
        <w:rPr/>
      </w:pPr>
      <w:r>
        <w:rPr/>
      </w:r>
    </w:p>
    <w:p>
      <w:pPr>
        <w:pStyle w:val="Normal"/>
        <w:rPr/>
      </w:pPr>
      <w:r>
        <w:rPr/>
        <w:tab/>
        <w:t>IN WITNESS THEREOF, Seller and PSCo have executed this Amendment as of the date first written above.</w:t>
      </w:r>
      <w:r>
        <w:br w:type="page"/>
      </w:r>
    </w:p>
    <w:p>
      <w:pPr>
        <w:pStyle w:val="Normal"/>
        <w:rPr/>
      </w:pPr>
      <w:r>
        <w:rPr/>
      </w:r>
    </w:p>
    <w:p>
      <w:pPr>
        <w:pStyle w:val="Normal"/>
        <w:rPr/>
      </w:pPr>
      <w:r>
        <w:rPr/>
        <w:tab/>
        <w:tab/>
        <w:tab/>
        <w:tab/>
        <w:tab/>
        <w:tab/>
      </w:r>
      <w:r>
        <w:rPr>
          <w:b/>
          <w:u w:val="single"/>
        </w:rPr>
        <w:t>SELLER:</w:t>
      </w:r>
    </w:p>
    <w:p>
      <w:pPr>
        <w:pStyle w:val="Normal"/>
        <w:rPr>
          <w:b/>
          <w:u w:val="single"/>
        </w:rPr>
      </w:pPr>
      <w:r>
        <w:rPr>
          <w:b/>
          <w:u w:val="single"/>
        </w:rPr>
      </w:r>
    </w:p>
    <w:p>
      <w:pPr>
        <w:pStyle w:val="Normal"/>
        <w:rPr/>
      </w:pPr>
      <w:r>
        <w:rPr/>
        <w:tab/>
        <w:tab/>
        <w:tab/>
        <w:tab/>
        <w:tab/>
        <w:tab/>
        <w:t>FOUNTAIN VALLEY POWER, L.L.C.</w:t>
      </w:r>
    </w:p>
    <w:p>
      <w:pPr>
        <w:pStyle w:val="Normal"/>
        <w:rPr/>
      </w:pPr>
      <w:r>
        <w:rPr/>
      </w:r>
    </w:p>
    <w:p>
      <w:pPr>
        <w:pStyle w:val="Normal"/>
        <w:rPr/>
      </w:pPr>
      <w:r>
        <w:rPr/>
      </w:r>
    </w:p>
    <w:p>
      <w:pPr>
        <w:pStyle w:val="Normal"/>
        <w:rPr/>
      </w:pPr>
      <w:r>
        <w:rPr/>
      </w:r>
    </w:p>
    <w:p>
      <w:pPr>
        <w:pStyle w:val="Normal"/>
        <w:rPr/>
      </w:pPr>
      <w:r>
        <w:rPr/>
        <w:tab/>
        <w:tab/>
        <w:tab/>
        <w:tab/>
        <w:tab/>
        <w:tab/>
        <w:t>By:</w:t>
      </w:r>
      <w:r>
        <w:rPr>
          <w:u w:val="single"/>
        </w:rPr>
        <w:tab/>
        <w:tab/>
        <w:tab/>
        <w:tab/>
        <w:tab/>
        <w:tab/>
        <w:tab/>
      </w:r>
    </w:p>
    <w:p>
      <w:pPr>
        <w:pStyle w:val="Normal"/>
        <w:rPr/>
      </w:pPr>
      <w:r>
        <w:rPr/>
        <w:tab/>
        <w:tab/>
        <w:tab/>
        <w:tab/>
        <w:tab/>
        <w:tab/>
        <w:tab/>
        <w:t>Jacob Thomas, Vice President</w:t>
      </w:r>
    </w:p>
    <w:p>
      <w:pPr>
        <w:pStyle w:val="Normal"/>
        <w:rPr/>
      </w:pPr>
      <w:r>
        <w:rPr/>
      </w:r>
    </w:p>
    <w:p>
      <w:pPr>
        <w:pStyle w:val="Normal"/>
        <w:rPr/>
      </w:pPr>
      <w:r>
        <w:rPr/>
        <w:tab/>
        <w:tab/>
        <w:tab/>
        <w:tab/>
        <w:tab/>
        <w:tab/>
      </w:r>
      <w:r>
        <w:rPr>
          <w:b/>
          <w:u w:val="single"/>
        </w:rPr>
        <w:t>PSCo:</w:t>
      </w:r>
    </w:p>
    <w:p>
      <w:pPr>
        <w:pStyle w:val="Normal"/>
        <w:rPr>
          <w:b/>
          <w:u w:val="single"/>
        </w:rPr>
      </w:pPr>
      <w:r>
        <w:rPr>
          <w:b/>
          <w:u w:val="single"/>
        </w:rPr>
      </w:r>
    </w:p>
    <w:p>
      <w:pPr>
        <w:pStyle w:val="Normal"/>
        <w:rPr/>
      </w:pPr>
      <w:r>
        <w:rPr>
          <w:b/>
        </w:rPr>
        <w:tab/>
        <w:tab/>
        <w:tab/>
        <w:tab/>
        <w:tab/>
        <w:tab/>
      </w:r>
      <w:r>
        <w:rPr/>
        <w:t>PUBLIC SERVICE COMPANY OF COLORADO</w:t>
      </w:r>
    </w:p>
    <w:p>
      <w:pPr>
        <w:pStyle w:val="Normal"/>
        <w:rPr>
          <w:b/>
        </w:rPr>
      </w:pPr>
      <w:r>
        <w:rPr>
          <w:b/>
        </w:rPr>
      </w:r>
    </w:p>
    <w:p>
      <w:pPr>
        <w:pStyle w:val="Normal"/>
        <w:rPr>
          <w:b/>
        </w:rPr>
      </w:pPr>
      <w:r>
        <w:rPr>
          <w:b/>
        </w:rPr>
      </w:r>
    </w:p>
    <w:p>
      <w:pPr>
        <w:pStyle w:val="Normal"/>
        <w:rPr>
          <w:b/>
        </w:rPr>
      </w:pPr>
      <w:r>
        <w:rPr>
          <w:b/>
        </w:rPr>
      </w:r>
    </w:p>
    <w:p>
      <w:pPr>
        <w:pStyle w:val="Normal"/>
        <w:rPr/>
      </w:pPr>
      <w:r>
        <w:rPr>
          <w:b/>
        </w:rPr>
        <w:tab/>
        <w:tab/>
        <w:tab/>
        <w:tab/>
        <w:tab/>
        <w:tab/>
      </w:r>
      <w:r>
        <w:rPr/>
        <w:t>By:</w:t>
      </w:r>
      <w:r>
        <w:rPr>
          <w:u w:val="single"/>
        </w:rPr>
        <w:tab/>
        <w:tab/>
        <w:tab/>
        <w:tab/>
        <w:tab/>
        <w:tab/>
        <w:tab/>
      </w:r>
    </w:p>
    <w:p>
      <w:pPr>
        <w:pStyle w:val="Normal"/>
        <w:rPr/>
      </w:pPr>
      <w:r>
        <w:rPr/>
        <w:tab/>
        <w:tab/>
        <w:tab/>
        <w:tab/>
        <w:tab/>
        <w:tab/>
        <w:tab/>
        <w:t>Paul J. Bonavia, Vice President</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GDK\57050.10\364504.01</w:t>
    </w:r>
    <w:r>
      <mc:AlternateContent>
        <mc:Choice Requires="wps">
          <w:drawing>
            <wp:anchor behindDoc="0" distT="0" distB="0" distL="0" distR="0" simplePos="0" locked="0" layoutInCell="0" allowOverlap="1" relativeHeight="3">
              <wp:simplePos x="0" y="0"/>
              <wp:positionH relativeFrom="page">
                <wp:posOffset>3841115</wp:posOffset>
              </wp:positionH>
              <wp:positionV relativeFrom="paragraph">
                <wp:posOffset>-31750</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2.5pt;mso-position-vertical-relative:text;margin-left:302.45pt;mso-position-horizontal-relative:page">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GDK\57050.10\364504.01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eastAsia="zh-CN" w:bidi="hi-IN"/>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FootnoteText">
    <w:name w:val="foot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2000-11-22T13:48:00Z</dcterms:created>
  <dc:creator>System Administrator</dc:creator>
  <dc:description/>
  <dc:language>en-CA</dc:language>
  <cp:lastModifiedBy>System Administrator</cp:lastModifiedBy>
  <cp:lastPrinted>2000-11-29T10:55:00Z</cp:lastPrinted>
  <dcterms:modified xsi:type="dcterms:W3CDTF">2000-11-29T19:52:00Z</dcterms:modified>
  <cp:revision>18</cp:revision>
  <dc:subject/>
  <dc:title>PSCo/Enron PPA – Proposed Amendments</dc:title>
</cp:coreProperties>
</file>