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lang w:val="en-US"/>
        </w:rPr>
      </w:pPr>
      <w:r>
        <w:rPr>
          <w:rFonts w:cs="Arial" w:ascii="Arial" w:hAnsi="Arial"/>
          <w:lang w:val="en-US"/>
        </w:rPr>
        <w:t>[LETTERHEAD OF ENRON CORP.]</w:t>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t>February ___, 2000</w:t>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BodyText"/>
        <w:spacing w:before="0" w:after="0"/>
        <w:rPr>
          <w:rFonts w:ascii="Arial" w:hAnsi="Arial" w:cs="Arial"/>
          <w:sz w:val="24"/>
          <w:lang w:val="en-US"/>
        </w:rPr>
      </w:pPr>
      <w:r>
        <w:rPr>
          <w:rFonts w:cs="Arial" w:ascii="Arial" w:hAnsi="Arial"/>
          <w:sz w:val="24"/>
          <w:lang w:val="en-US"/>
        </w:rPr>
        <w:t>AFIANZADORA INSURGENTES, S.A.DE C.V.</w:t>
      </w:r>
    </w:p>
    <w:p>
      <w:pPr>
        <w:pStyle w:val="BodyText"/>
        <w:spacing w:before="0" w:after="0"/>
        <w:rPr>
          <w:rFonts w:ascii="Arial" w:hAnsi="Arial" w:cs="Arial"/>
          <w:sz w:val="24"/>
          <w:lang w:val="en-US"/>
        </w:rPr>
      </w:pPr>
      <w:r>
        <w:rPr>
          <w:rFonts w:cs="Arial" w:ascii="Arial" w:hAnsi="Arial"/>
          <w:sz w:val="24"/>
          <w:lang w:val="en-US"/>
        </w:rPr>
        <w:t>Periférico Sur 4829 - Piso 9</w:t>
      </w:r>
    </w:p>
    <w:p>
      <w:pPr>
        <w:pStyle w:val="BodyText"/>
        <w:spacing w:before="0" w:after="0"/>
        <w:rPr>
          <w:rFonts w:ascii="Arial" w:hAnsi="Arial" w:cs="Arial"/>
          <w:sz w:val="24"/>
          <w:lang w:val="en-US"/>
        </w:rPr>
      </w:pPr>
      <w:r>
        <w:rPr>
          <w:rFonts w:cs="Arial" w:ascii="Arial" w:hAnsi="Arial"/>
          <w:sz w:val="24"/>
          <w:lang w:val="en-US"/>
        </w:rPr>
        <w:t>Parques del Pedregal</w:t>
      </w:r>
    </w:p>
    <w:p>
      <w:pPr>
        <w:pStyle w:val="BodyText"/>
        <w:spacing w:before="0" w:after="0"/>
        <w:rPr>
          <w:rFonts w:ascii="Arial" w:hAnsi="Arial" w:cs="Arial"/>
          <w:sz w:val="24"/>
          <w:lang w:val="en-US"/>
        </w:rPr>
      </w:pPr>
      <w:r>
        <w:rPr>
          <w:rFonts w:cs="Arial" w:ascii="Arial" w:hAnsi="Arial"/>
          <w:sz w:val="24"/>
          <w:lang w:val="en-US"/>
        </w:rPr>
        <w:t>14010 – México, D.F.</w:t>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ind w:firstLine="708" w:start="708" w:end="0"/>
        <w:rPr>
          <w:rFonts w:ascii="Arial" w:hAnsi="Arial" w:cs="Arial"/>
          <w:sz w:val="24"/>
          <w:lang w:val="en-US"/>
        </w:rPr>
      </w:pPr>
      <w:r>
        <w:rPr>
          <w:rFonts w:cs="Arial" w:ascii="Arial" w:hAnsi="Arial"/>
          <w:sz w:val="24"/>
          <w:lang w:val="en-US"/>
        </w:rPr>
        <w:t>Att’n:</w:t>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rPr>
          <w:rFonts w:ascii="Arial" w:hAnsi="Arial" w:cs="Arial"/>
          <w:sz w:val="24"/>
          <w:lang w:val="en-US"/>
        </w:rPr>
      </w:pPr>
      <w:r>
        <w:rPr>
          <w:rFonts w:cs="Arial" w:ascii="Arial" w:hAnsi="Arial"/>
          <w:sz w:val="24"/>
          <w:lang w:val="en-US"/>
        </w:rPr>
        <w:t>Ladies and Gentlemen:</w:t>
      </w:r>
    </w:p>
    <w:p>
      <w:pPr>
        <w:pStyle w:val="Normal"/>
        <w:rPr>
          <w:rFonts w:ascii="Arial" w:hAnsi="Arial" w:cs="Arial"/>
          <w:sz w:val="24"/>
          <w:lang w:val="en-US"/>
        </w:rPr>
      </w:pPr>
      <w:r>
        <w:rPr>
          <w:rFonts w:cs="Arial" w:ascii="Arial" w:hAnsi="Arial"/>
          <w:sz w:val="24"/>
          <w:lang w:val="en-US"/>
        </w:rPr>
      </w:r>
    </w:p>
    <w:p>
      <w:pPr>
        <w:pStyle w:val="Normal"/>
        <w:ind w:firstLine="708" w:end="0"/>
        <w:rPr>
          <w:rFonts w:ascii="Arial" w:hAnsi="Arial" w:cs="Arial"/>
          <w:lang w:val="en-US"/>
        </w:rPr>
      </w:pPr>
      <w:r>
        <w:rPr>
          <w:rFonts w:cs="Arial" w:ascii="Arial" w:hAnsi="Arial"/>
          <w:lang w:val="en-US"/>
        </w:rPr>
        <w:t>Reference is made to the bond No. 2377-0544-039109 (the “Bond”) issued on November 24, 1999 by Afianzadora Insurgentes, S.A. de C.V. (“AI”) in our favor.</w:t>
      </w:r>
    </w:p>
    <w:p>
      <w:pPr>
        <w:pStyle w:val="Normal"/>
        <w:rPr>
          <w:rFonts w:ascii="Arial" w:hAnsi="Arial" w:eastAsia="Arial" w:cs="Arial"/>
          <w:lang w:val="en-US"/>
        </w:rPr>
      </w:pPr>
      <w:r>
        <w:rPr>
          <w:rFonts w:eastAsia="Arial" w:cs="Arial" w:ascii="Arial" w:hAnsi="Arial"/>
          <w:lang w:val="en-US"/>
        </w:rPr>
        <w:t xml:space="preserve"> </w:t>
      </w:r>
    </w:p>
    <w:p>
      <w:pPr>
        <w:pStyle w:val="Normal"/>
        <w:ind w:firstLine="708" w:end="0"/>
        <w:rPr>
          <w:rFonts w:ascii="Arial" w:hAnsi="Arial" w:cs="Arial"/>
          <w:lang w:val="en-US"/>
        </w:rPr>
      </w:pPr>
      <w:r>
        <w:rPr>
          <w:rFonts w:cs="Arial" w:ascii="Arial" w:hAnsi="Arial"/>
          <w:lang w:val="en-US"/>
        </w:rPr>
        <w:t>Under the Bond, AI guarantees all obligations of Grupo Tribasa, S.A. de C.V. (“GTR”) under a Facility Agreement and the respective amendments and the Y Note, as specified in the Bond.</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Enron is entitled to draw under the Bond in one or more occasions to cover payments which have not been made by GTR when due, provided that pursuant to Item No. 7 of the Bond, the obligations of AI under the Bond are limited to a maximum amount of US$32,626,470.00.</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As you are aware, the principal amount under the Facility Agreement bears interest at a rate of Libor plus 7% with an initial rate of 13.114% per annum.  Therefore, the total amount of all obligations guaranteed by AI under the Bond in respect of the Facility Agreement and the Y Note for principal and interest exceed the limit fixed under Item 7 of the Bond.</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The limit of AI´s obligation fixed under the Bond is a global limit and not specifically assigned to principal and interest, respectively. Furthermore, there is no provision under which the Bond is reduced for a payment made by GTR.  Therefore, the December 1999 payment of principal by GTR of US$700,000.00 does not reduce the limit of AI’s obligation under the Bond and as a consequence, Enron still has the total amount of the Bond to cover principal and interest under the Facility Agreement and the Y Note which is oustanding as of today to the extent not paid when due by GTR.</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In the event you should disagree with the aforementioned interpretation of the Bond, please let us know since Enron would have to consider acceleration of the loan under the Facility Agreement and the Y Note in order to avoid any possible short fall under the Bond coverage.</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r>
    </w:p>
    <w:p>
      <w:pPr>
        <w:pStyle w:val="Normal"/>
        <w:ind w:firstLine="708" w:end="0"/>
        <w:jc w:val="center"/>
        <w:rPr>
          <w:rFonts w:ascii="Arial" w:hAnsi="Arial" w:cs="Arial"/>
          <w:lang w:val="en-US"/>
        </w:rPr>
      </w:pPr>
      <w:r>
        <w:rPr>
          <w:rFonts w:cs="Arial" w:ascii="Arial" w:hAnsi="Arial"/>
          <w:lang w:val="en-US"/>
        </w:rPr>
        <w:t>Best regards,</w:t>
      </w:r>
    </w:p>
    <w:p>
      <w:pPr>
        <w:pStyle w:val="Normal"/>
        <w:ind w:firstLine="708" w:end="0"/>
        <w:jc w:val="center"/>
        <w:rPr>
          <w:rFonts w:ascii="Arial" w:hAnsi="Arial" w:cs="Arial"/>
          <w:lang w:val="en-US"/>
        </w:rPr>
      </w:pPr>
      <w:r>
        <w:rPr>
          <w:rFonts w:cs="Arial" w:ascii="Arial" w:hAnsi="Arial"/>
          <w:lang w:val="en-US"/>
        </w:rPr>
      </w:r>
    </w:p>
    <w:p>
      <w:pPr>
        <w:pStyle w:val="Normal"/>
        <w:ind w:firstLine="708" w:end="0"/>
        <w:jc w:val="center"/>
        <w:rPr>
          <w:rFonts w:ascii="Arial" w:hAnsi="Arial" w:cs="Arial"/>
          <w:lang w:val="en-US"/>
        </w:rPr>
      </w:pPr>
      <w:r>
        <w:rPr>
          <w:rFonts w:cs="Arial" w:ascii="Arial" w:hAnsi="Arial"/>
          <w:lang w:val="en-US"/>
        </w:rPr>
        <w:t>ENRON POWER CORP.</w:t>
      </w:r>
    </w:p>
    <w:p>
      <w:pPr>
        <w:pStyle w:val="Normal"/>
        <w:ind w:firstLine="708" w:end="0"/>
        <w:jc w:val="center"/>
        <w:rPr>
          <w:rFonts w:ascii="Arial" w:hAnsi="Arial" w:cs="Arial"/>
          <w:lang w:val="en-US"/>
        </w:rPr>
      </w:pPr>
      <w:r>
        <w:rPr>
          <w:rFonts w:cs="Arial" w:ascii="Arial" w:hAnsi="Arial"/>
          <w:lang w:val="en-US"/>
        </w:rPr>
      </w:r>
    </w:p>
    <w:p>
      <w:pPr>
        <w:pStyle w:val="Normal"/>
        <w:ind w:firstLine="708" w:end="0"/>
        <w:jc w:val="center"/>
        <w:rPr>
          <w:rFonts w:ascii="Arial" w:hAnsi="Arial" w:cs="Arial"/>
          <w:lang w:val="en-US"/>
        </w:rPr>
      </w:pPr>
      <w:r>
        <w:rPr>
          <w:rFonts w:cs="Arial" w:ascii="Arial" w:hAnsi="Arial"/>
          <w:lang w:val="en-US"/>
        </w:rPr>
      </w:r>
    </w:p>
    <w:p>
      <w:pPr>
        <w:pStyle w:val="Normal"/>
        <w:ind w:firstLine="708" w:end="0"/>
        <w:jc w:val="start"/>
        <w:rPr>
          <w:rFonts w:ascii="Arial" w:hAnsi="Arial" w:cs="Arial"/>
          <w:lang w:val="en-US"/>
        </w:rPr>
      </w:pPr>
      <w:r>
        <w:rPr>
          <w:rFonts w:cs="Arial" w:ascii="Arial" w:hAnsi="Arial"/>
          <w:lang w:val="en-US"/>
        </w:rPr>
        <w:t>Copy to St Paul</w:t>
      </w:r>
    </w:p>
    <w:p>
      <w:pPr>
        <w:pStyle w:val="Normal"/>
        <w:ind w:firstLine="708" w:end="0"/>
        <w:jc w:val="center"/>
        <w:rPr>
          <w:rFonts w:ascii="Arial" w:hAnsi="Arial" w:cs="Arial"/>
          <w:lang w:val="en-US"/>
        </w:rPr>
      </w:pPr>
      <w:r>
        <w:rPr>
          <w:rFonts w:cs="Arial" w:ascii="Arial" w:hAnsi="Arial"/>
          <w:lang w:val="en-US"/>
        </w:rPr>
      </w:r>
    </w:p>
    <w:sectPr>
      <w:headerReference w:type="default" r:id="rId2"/>
      <w:headerReference w:type="first" r:id="rId3"/>
      <w:footerReference w:type="default" r:id="rId4"/>
      <w:footerReference w:type="first" r:id="rId5"/>
      <w:type w:val="nextPage"/>
      <w:pgSz w:w="12240" w:h="15840"/>
      <w:pgMar w:left="2160" w:right="1440" w:gutter="0" w:header="1440"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sz w:val="16"/>
            </w:rPr>
          </w:pPr>
          <w:r>
            <w:rPr>
              <w:sz w:val="16"/>
            </w:rPr>
            <w:t>10100v1 02/10/2000</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sz w:val="16"/>
            </w:rPr>
          </w:pPr>
          <w:r>
            <w:rPr>
              <w:sz w:val="16"/>
            </w:rPr>
            <w:t>10100v1 02/10/2000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Head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26.4pt;mso-position-horizontal:right;mso-position-horizontal-relative:margin">
              <v:fill opacity="0f"/>
              <v:textbox inset="0in,0in,0in,0in">
                <w:txbxContent>
                  <w:p>
                    <w:pPr>
                      <w:pStyle w:val="Head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ourier New" w:hAnsi="Courier New" w:eastAsia="Times New Roman" w:cs="Courier New"/>
      <w:color w:val="auto"/>
      <w:sz w:val="24"/>
      <w:szCs w:val="20"/>
      <w:lang w:val="es-ES" w:eastAsia="zh-CN" w:bidi="hi-IN"/>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start"/>
    </w:pPr>
    <w:rPr>
      <w:sz w:val="20"/>
      <w:lang w:val="es-ES_tradn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252"/>
        <w:tab w:val="clear" w:pos="8504"/>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2000-02-10T12:49:00Z</dcterms:created>
  <dc:creator>Ma. Eugenia Jordana</dc:creator>
  <dc:description/>
  <dc:language>en-CA</dc:language>
  <cp:lastModifiedBy>Ma. Eugenia Jordana</cp:lastModifiedBy>
  <cp:lastPrinted>2000-02-10T12:40:00Z</cp:lastPrinted>
  <dcterms:modified xsi:type="dcterms:W3CDTF">2000-02-10T16:12:00Z</dcterms:modified>
  <cp:revision>5</cp:revision>
  <dc:subject/>
  <dc:title>[LETTERHEAD OF ENRON CORP</dc:title>
</cp:coreProperties>
</file>