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irectDialLine"/>
        <w:numPr>
          <w:ilvl w:val="0"/>
          <w:numId w:val="0"/>
        </w:numPr>
        <w:rPr/>
      </w:pPr>
      <w:r>
        <w:rPr/>
      </w:r>
    </w:p>
    <w:p>
      <w:pPr>
        <w:sectPr>
          <w:headerReference w:type="default" r:id="rId2"/>
          <w:headerReference w:type="first" r:id="rId3"/>
          <w:type w:val="nextPage"/>
          <w:pgSz w:w="12240" w:h="15840"/>
          <w:pgMar w:left="1440" w:right="1440" w:gutter="0" w:header="1440" w:top="2880" w:footer="0" w:bottom="2016"/>
          <w:pgNumType w:fmt="decimal"/>
          <w:formProt w:val="false"/>
          <w:titlePg/>
          <w:textDirection w:val="lrTb"/>
          <w:docGrid w:type="default" w:linePitch="360" w:charSpace="0"/>
        </w:sectPr>
      </w:pPr>
    </w:p>
    <w:p>
      <w:pPr>
        <w:pStyle w:val="DirectDialLine"/>
        <w:tabs>
          <w:tab w:val="clear" w:pos="5040"/>
        </w:tabs>
        <w:rPr/>
      </w:pPr>
      <w:bookmarkStart w:id="0" w:name="bmDDLine"/>
      <w:bookmarkEnd w:id="0"/>
      <w:r>
        <w:rPr/>
        <w:t>Debbie M. Orshefsky</w:t>
      </w:r>
    </w:p>
    <w:p>
      <w:pPr>
        <w:pStyle w:val="DirectDialLine"/>
        <w:tabs>
          <w:tab w:val="clear" w:pos="5040"/>
        </w:tabs>
        <w:rPr>
          <w:position w:val="12"/>
        </w:rPr>
      </w:pPr>
      <w:bookmarkStart w:id="1" w:name="bmDDLine"/>
      <w:bookmarkEnd w:id="1"/>
      <w:r>
        <w:rPr>
          <w:position w:val="4"/>
        </w:rPr>
        <w:t>(954) 768-8234</w:t>
      </w:r>
    </w:p>
    <w:p>
      <w:pPr>
        <w:pStyle w:val="DateLine"/>
        <w:spacing w:lineRule="exact" w:line="220"/>
        <w:rPr/>
      </w:pPr>
      <w:r>
        <w:rPr>
          <w:position w:val="6"/>
          <w:sz w:val="16"/>
        </w:rPr>
        <w:t>orshefskyd@gtlaw.com</w:t>
      </w:r>
      <w:r>
        <w:rPr/>
        <w:tab/>
        <w:t xml:space="preserve">July 27, 2001 </w:t>
      </w:r>
    </w:p>
    <w:p>
      <w:pPr>
        <w:pStyle w:val="ConveyanceLine"/>
        <w:tabs>
          <w:tab w:val="clear" w:pos="5040"/>
        </w:tabs>
        <w:rPr>
          <w:b/>
          <w:u w:val="single"/>
        </w:rPr>
      </w:pPr>
      <w:r>
        <w:rPr>
          <w:b/>
          <w:u w:val="single"/>
        </w:rPr>
        <w:t>VIA E-MAIL</w:t>
      </w:r>
    </w:p>
    <w:p>
      <w:pPr>
        <w:pStyle w:val="ConveyanceLine"/>
        <w:tabs>
          <w:tab w:val="clear" w:pos="5040"/>
        </w:tabs>
        <w:spacing w:before="0" w:after="0"/>
        <w:rPr/>
      </w:pPr>
      <w:r>
        <w:rPr/>
        <w:t>Kay Mann, Esq.</w:t>
      </w:r>
    </w:p>
    <w:p>
      <w:pPr>
        <w:pStyle w:val="Normal"/>
        <w:rPr/>
      </w:pPr>
      <w:r>
        <w:rPr/>
        <w:t>Enron North America Corp.</w:t>
      </w:r>
    </w:p>
    <w:p>
      <w:pPr>
        <w:pStyle w:val="Normal"/>
        <w:rPr/>
      </w:pPr>
      <w:r>
        <w:rPr/>
        <w:t>1400 Smith Street</w:t>
      </w:r>
    </w:p>
    <w:p>
      <w:pPr>
        <w:pStyle w:val="Normal"/>
        <w:rPr/>
      </w:pPr>
      <w:r>
        <w:rPr/>
        <w:t>Houston, TX  77002-7361</w:t>
        <w:tab/>
      </w:r>
    </w:p>
    <w:p>
      <w:pPr>
        <w:pStyle w:val="ReLine"/>
        <w:spacing w:before="480" w:after="0"/>
        <w:rPr/>
      </w:pPr>
      <w:r>
        <w:rPr/>
        <w:t>Re:</w:t>
        <w:tab/>
        <w:t>City of Coconut Creek vs. City of Deerfield Beach/Enron Proposed Litigation Budget</w:t>
      </w:r>
    </w:p>
    <w:p>
      <w:pPr>
        <w:pStyle w:val="DearLine"/>
        <w:rPr/>
      </w:pPr>
      <w:r>
        <w:rPr/>
        <w:t>Dear Kay:</w:t>
      </w:r>
    </w:p>
    <w:p>
      <w:pPr>
        <w:pStyle w:val="BodyTextIndent"/>
        <w:rPr/>
      </w:pPr>
      <w:r>
        <w:rPr/>
        <w:t>Pursuant to your request, the following is a proposed budget regarding the above referenced matter.  Since this litigation may take a number of alternative routes, the following proposed budget addresses each of the currently anticipated alternatives.</w:t>
      </w:r>
    </w:p>
    <w:p>
      <w:pPr>
        <w:pStyle w:val="BodyTextIndent"/>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A</w:t>
      </w:r>
      <w:r>
        <w:rPr>
          <w:lang w:val="en-CA" w:eastAsia="en-CA"/>
        </w:rPr>
      </w:r>
      <w:r>
        <w:rPr>
          <w:lang w:val="en-CA" w:eastAsia="en-CA"/>
        </w:rPr>
        <w:fldChar w:fldCharType="end"/>
      </w:r>
      <w:r>
        <w:rPr/>
        <w:t>.</w:t>
        <w:tab/>
        <w:t>Our initial efforts will include preparation of a Motion to Intervene to be filed by Enron next week, as well as our preparation of a Motion to Dismiss to be filed by the City Attorney, with our joining in this Motion.  The filing of the foregoing pleadings and the related arguments at court hearings has estimated attorney’s fees of between $12,000-15,000.  Should the court grant the Motion to Dismiss and Coconut Creek not file a certiorari petition, then this matter will be concluded rather summarily (which would be wonderful!)</w:t>
      </w:r>
    </w:p>
    <w:p>
      <w:pPr>
        <w:pStyle w:val="BodyTextIndent"/>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B</w:t>
      </w:r>
      <w:r>
        <w:rPr>
          <w:lang w:val="en-CA" w:eastAsia="en-CA"/>
        </w:rPr>
      </w:r>
      <w:r>
        <w:rPr>
          <w:lang w:val="en-CA" w:eastAsia="en-CA"/>
        </w:rPr>
        <w:fldChar w:fldCharType="end"/>
      </w:r>
      <w:r>
        <w:rPr/>
        <w:t>.</w:t>
        <w:tab/>
        <w:t>If the Court grants the Motion to Dismiss in its entirety, and the City of Coconut Creek pursues certiorari review of the quasi-judicial ruling in Circuit Court, then additional fees of approximately $40,000 will be incurred to defend against the certiorari petition.</w:t>
      </w:r>
    </w:p>
    <w:p>
      <w:pPr>
        <w:pStyle w:val="BodyTextIndent"/>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C</w:t>
      </w:r>
      <w:r>
        <w:rPr>
          <w:lang w:val="en-CA" w:eastAsia="en-CA"/>
        </w:rPr>
      </w:r>
      <w:r>
        <w:rPr>
          <w:lang w:val="en-CA" w:eastAsia="en-CA"/>
        </w:rPr>
        <w:fldChar w:fldCharType="end"/>
      </w:r>
      <w:r>
        <w:rPr/>
        <w:t>.</w:t>
        <w:tab/>
        <w:t>If Coconut Creek pursues appellate review of an order granting our Motion to Dismiss, the legal fees to defend the appeal are estimated at $30,000.</w:t>
      </w:r>
    </w:p>
    <w:p>
      <w:pPr>
        <w:pStyle w:val="BodyTextIndent"/>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D</w:t>
      </w:r>
      <w:r>
        <w:rPr>
          <w:lang w:val="en-CA" w:eastAsia="en-CA"/>
        </w:rPr>
      </w:r>
      <w:r>
        <w:rPr>
          <w:lang w:val="en-CA" w:eastAsia="en-CA"/>
        </w:rPr>
        <w:fldChar w:fldCharType="end"/>
      </w:r>
      <w:r>
        <w:rPr/>
        <w:t>.</w:t>
        <w:tab/>
        <w:t>If the Court grants a Motion to Dismiss as to the certiorari count, but does not grant the Motion as to the Section 163.3215 count, then Enron may have the option of seeking review of that ruling by a certiorari petition in the Fourth District Court of Appeal.  The cost of our certiorari proceedings are estimated at approximately $40,000.</w:t>
      </w:r>
    </w:p>
    <w:p>
      <w:pPr>
        <w:pStyle w:val="BodyTextIndent"/>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E</w:t>
      </w:r>
      <w:r>
        <w:rPr>
          <w:lang w:val="en-CA" w:eastAsia="en-CA"/>
        </w:rPr>
      </w:r>
      <w:r>
        <w:rPr>
          <w:lang w:val="en-CA" w:eastAsia="en-CA"/>
        </w:rPr>
        <w:fldChar w:fldCharType="end"/>
      </w:r>
      <w:r>
        <w:rPr/>
        <w:t>.</w:t>
        <w:tab/>
        <w:t>The same appellate fees of approximately $40,000 would be incurred if the Court also denied the Motion to Dismiss as to the certiorari count, although review in that instance would be sought by a Petition for Writ of Mandamus.  In addition, in the event that the Court denied the Motion to Dismiss in its entirety, the estimated fees to seek review by mandamus and by certiorari are estimated not to exceed $40,000.</w:t>
      </w:r>
    </w:p>
    <w:p>
      <w:pPr>
        <w:pStyle w:val="BodyTextIndent"/>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F</w:t>
      </w:r>
      <w:r>
        <w:rPr>
          <w:lang w:val="en-CA" w:eastAsia="en-CA"/>
        </w:rPr>
      </w:r>
      <w:r>
        <w:rPr>
          <w:lang w:val="en-CA" w:eastAsia="en-CA"/>
        </w:rPr>
        <w:fldChar w:fldCharType="end"/>
      </w:r>
      <w:r>
        <w:rPr/>
        <w:t>.</w:t>
        <w:tab/>
        <w:t>The only other possible scenario would be a trial.  In the unlikely event that our Motions to Dismiss are denied, and our appellate review of those Motions is unsuccessful, a full-blown trial becomes necessary.  A full-blown trial on these matters would be quite complicated and may involve fees in excess of $100,000.  A more precise estimate can be determined once we see which, if any, claims survive the Motion to Dismiss.</w:t>
      </w:r>
    </w:p>
    <w:p>
      <w:pPr>
        <w:pStyle w:val="BodyTextIndent"/>
        <w:rPr/>
      </w:pPr>
      <w:r>
        <w:rPr/>
        <w:t>The foregoing litigation strategies would be undertaken with Elliot Scherker as the lead appellate counsel, and Jeff Gilbert as the lead litigation counsel.  Technical support on the land use issues would be provided by Debbie Orshefsky and Barbara Hall.  We would utilize assistance of associates to assure that these matters are undertaken on a cost effective basis.  The hourly rates for the foregoing individuals as well as the associates who would be involved are as follows:</w:t>
      </w:r>
    </w:p>
    <w:p>
      <w:pPr>
        <w:pStyle w:val="BodyTextIndent"/>
        <w:tabs>
          <w:tab w:val="clear" w:pos="720"/>
          <w:tab w:val="decimal" w:pos="4410" w:leader="none"/>
        </w:tabs>
        <w:spacing w:before="0" w:after="0"/>
        <w:ind w:firstLine="1440" w:end="0"/>
        <w:jc w:val="start"/>
        <w:rPr/>
      </w:pPr>
      <w:r>
        <w:rPr/>
        <w:t>Elliot Scherker</w:t>
        <w:tab/>
        <w:t>$375.00/hour</w:t>
      </w:r>
    </w:p>
    <w:p>
      <w:pPr>
        <w:pStyle w:val="BodyTextIndent"/>
        <w:tabs>
          <w:tab w:val="clear" w:pos="720"/>
          <w:tab w:val="decimal" w:pos="4410" w:leader="none"/>
        </w:tabs>
        <w:spacing w:before="0" w:after="0"/>
        <w:ind w:firstLine="1440" w:end="0"/>
        <w:jc w:val="start"/>
        <w:rPr/>
      </w:pPr>
      <w:r>
        <w:rPr/>
        <w:t>Jeff Gilbert</w:t>
        <w:tab/>
        <w:t>$325.00/hour</w:t>
      </w:r>
    </w:p>
    <w:p>
      <w:pPr>
        <w:pStyle w:val="BodyTextIndent"/>
        <w:tabs>
          <w:tab w:val="clear" w:pos="720"/>
          <w:tab w:val="decimal" w:pos="4410" w:leader="none"/>
        </w:tabs>
        <w:spacing w:before="0" w:after="0"/>
        <w:ind w:firstLine="1440" w:end="0"/>
        <w:jc w:val="start"/>
        <w:rPr/>
      </w:pPr>
      <w:r>
        <w:rPr/>
        <w:t>Debbie Orshefsky</w:t>
        <w:tab/>
        <w:t>$385.00/hour</w:t>
      </w:r>
    </w:p>
    <w:p>
      <w:pPr>
        <w:pStyle w:val="BodyTextIndent"/>
        <w:tabs>
          <w:tab w:val="clear" w:pos="720"/>
          <w:tab w:val="decimal" w:pos="4410" w:leader="none"/>
        </w:tabs>
        <w:spacing w:before="0" w:after="0"/>
        <w:ind w:firstLine="1440" w:end="0"/>
        <w:jc w:val="start"/>
        <w:rPr/>
      </w:pPr>
      <w:r>
        <w:rPr/>
        <w:t>Barbara Hall</w:t>
        <w:tab/>
        <w:t>$345.00/hour</w:t>
      </w:r>
    </w:p>
    <w:p>
      <w:pPr>
        <w:pStyle w:val="BodyTextIndent"/>
        <w:tabs>
          <w:tab w:val="clear" w:pos="720"/>
          <w:tab w:val="decimal" w:pos="4410" w:leader="none"/>
        </w:tabs>
        <w:spacing w:before="0" w:after="0"/>
        <w:ind w:firstLine="1440" w:end="0"/>
        <w:jc w:val="start"/>
        <w:rPr/>
      </w:pPr>
      <w:r>
        <w:rPr/>
        <w:t>Paul Savage</w:t>
        <w:tab/>
        <w:t>$210.00/hour</w:t>
      </w:r>
    </w:p>
    <w:p>
      <w:pPr>
        <w:pStyle w:val="BodyTextIndent"/>
        <w:tabs>
          <w:tab w:val="clear" w:pos="720"/>
          <w:tab w:val="decimal" w:pos="4410" w:leader="none"/>
        </w:tabs>
        <w:spacing w:before="0" w:after="0"/>
        <w:ind w:firstLine="1440" w:end="0"/>
        <w:jc w:val="start"/>
        <w:rPr/>
      </w:pPr>
      <w:r>
        <w:rPr/>
        <w:t>John McManus</w:t>
        <w:tab/>
        <w:t>$225.00/hour</w:t>
      </w:r>
    </w:p>
    <w:p>
      <w:pPr>
        <w:pStyle w:val="BodyTextIndent"/>
        <w:tabs>
          <w:tab w:val="clear" w:pos="720"/>
          <w:tab w:val="decimal" w:pos="4410" w:leader="none"/>
        </w:tabs>
        <w:spacing w:before="0" w:after="0"/>
        <w:ind w:firstLine="1440" w:end="0"/>
        <w:jc w:val="start"/>
        <w:rPr/>
      </w:pPr>
      <w:r>
        <w:rPr/>
        <w:t>Craig Barnett</w:t>
        <w:tab/>
        <w:t>$230.00/hour</w:t>
      </w:r>
    </w:p>
    <w:p>
      <w:pPr>
        <w:pStyle w:val="BodyTextIndent"/>
        <w:tabs>
          <w:tab w:val="clear" w:pos="720"/>
          <w:tab w:val="decimal" w:pos="4410" w:leader="none"/>
        </w:tabs>
        <w:spacing w:before="0" w:after="0"/>
        <w:ind w:firstLine="1440" w:end="0"/>
        <w:jc w:val="start"/>
        <w:rPr/>
      </w:pPr>
      <w:r>
        <w:rPr/>
        <w:t>Avi Benayoun</w:t>
        <w:tab/>
        <w:t>$195.00/hour</w:t>
      </w:r>
    </w:p>
    <w:p>
      <w:pPr>
        <w:pStyle w:val="BodyTextIndent"/>
        <w:tabs>
          <w:tab w:val="clear" w:pos="720"/>
          <w:tab w:val="decimal" w:pos="4410" w:leader="none"/>
        </w:tabs>
        <w:spacing w:before="0" w:after="0"/>
        <w:ind w:firstLine="1440" w:end="0"/>
        <w:jc w:val="start"/>
        <w:rPr/>
      </w:pPr>
      <w:r>
        <w:rPr/>
      </w:r>
    </w:p>
    <w:p>
      <w:pPr>
        <w:pStyle w:val="BodyTextIndent"/>
        <w:tabs>
          <w:tab w:val="clear" w:pos="720"/>
          <w:tab w:val="left" w:pos="-90" w:leader="none"/>
        </w:tabs>
        <w:rPr/>
      </w:pPr>
      <w:r>
        <w:rPr/>
        <w:t>Prior to filing any of the pleadings involved in the litigation outlined above, we will forward these materials to you for your review and comment.  If there is any additional information that you require in connection with the foregoing, please do not hesitate to contact me.</w:t>
      </w:r>
    </w:p>
    <w:p>
      <w:pPr>
        <w:pStyle w:val="SigLine"/>
        <w:tabs>
          <w:tab w:val="clear" w:pos="5040"/>
        </w:tabs>
        <w:ind w:firstLine="5048" w:end="0"/>
        <w:rPr/>
      </w:pPr>
      <w:r>
        <w:rPr/>
        <w:t>Very truly yours,</w:t>
      </w:r>
    </w:p>
    <w:p>
      <w:pPr>
        <w:pStyle w:val="Normal"/>
        <w:ind w:firstLine="5048" w:end="0"/>
        <w:rPr/>
      </w:pPr>
      <w:r>
        <w:rPr/>
        <w:t>Debbie M. Orshefsky</w:t>
      </w:r>
    </w:p>
    <w:p>
      <w:pPr>
        <w:pStyle w:val="BottomLabel"/>
        <w:rPr/>
      </w:pPr>
      <w:r>
        <w:rPr/>
        <w:t>DMO/rcm</w:t>
      </w:r>
    </w:p>
    <w:p>
      <w:pPr>
        <w:pStyle w:val="Normal"/>
        <w:rPr/>
      </w:pPr>
      <w:r>
        <w:rPr/>
        <w:t>Enclosure</w:t>
      </w:r>
    </w:p>
    <w:p>
      <w:pPr>
        <w:pStyle w:val="Normal"/>
        <w:rPr/>
      </w:pPr>
      <w:r>
        <w:rPr/>
      </w:r>
    </w:p>
    <w:p>
      <w:pPr>
        <w:pStyle w:val="Normal"/>
        <w:rPr/>
      </w:pPr>
      <w:r>
        <w:rPr/>
        <w:t>cc:</w:t>
        <w:tab/>
        <w:t>Elliot Scherker, Esq.</w:t>
      </w:r>
    </w:p>
    <w:p>
      <w:pPr>
        <w:pStyle w:val="Normal"/>
        <w:rPr/>
      </w:pPr>
      <w:r>
        <w:rPr/>
        <w:tab/>
        <w:t>Jeff Gilbert, Esq.</w:t>
      </w:r>
    </w:p>
    <w:p>
      <w:pPr>
        <w:pStyle w:val="Normal"/>
        <w:rPr/>
      </w:pPr>
      <w:r>
        <w:rPr/>
        <w:tab/>
        <w:t>Barbara Hall, Esq.</w:t>
      </w:r>
    </w:p>
    <w:p>
      <w:pPr>
        <w:pStyle w:val="Normal"/>
        <w:rPr/>
      </w:pPr>
      <w:r>
        <w:rPr/>
        <w:tab/>
        <w:t>Mr. Steven Krimsky</w:t>
      </w:r>
    </w:p>
    <w:p>
      <w:pPr>
        <w:pStyle w:val="Normal"/>
        <w:spacing w:before="720" w:after="0"/>
        <w:rPr>
          <w:sz w:val="12"/>
        </w:rPr>
      </w:pPr>
      <w:bookmarkStart w:id="2" w:name="lpDocsInfo"/>
      <w:r>
        <w:rPr>
          <w:sz w:val="12"/>
        </w:rPr>
        <w:fldChar w:fldCharType="begin"/>
      </w:r>
      <w:r>
        <w:rPr>
          <w:sz w:val="12"/>
        </w:rPr>
        <w:instrText xml:space="preserve"> DOCPROPERTY "gtTagLine"</w:instrText>
      </w:r>
      <w:r>
        <w:rPr>
          <w:sz w:val="12"/>
        </w:rPr>
        <w:fldChar w:fldCharType="separate"/>
      </w:r>
      <w:r>
        <w:rPr>
          <w:sz w:val="12"/>
        </w:rPr>
        <w:t>\\ftl-srv01\ORSHEFSKYD\355245v01\7M3X01!.DOC\7/27/01</w:t>
      </w:r>
      <w:r>
        <w:rPr>
          <w:sz w:val="12"/>
        </w:rPr>
        <w:fldChar w:fldCharType="end"/>
      </w:r>
      <w:bookmarkEnd w:id="2"/>
    </w:p>
    <w:sectPr>
      <w:type w:val="continuous"/>
      <w:pgSz w:w="12240" w:h="15840"/>
      <w:pgMar w:left="1440" w:right="1440" w:gutter="0" w:header="1440" w:top="2880" w:footer="0" w:bottom="201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Kay Mann, Esq.</w:t>
    </w:r>
  </w:p>
  <w:p>
    <w:pPr>
      <w:pStyle w:val="Header"/>
      <w:rPr/>
    </w:pPr>
    <w:r>
      <w:rPr/>
      <w:t>July 27, 2001</w:t>
    </w:r>
  </w:p>
  <w:p>
    <w:pPr>
      <w:pStyle w:val="Header"/>
      <w:spacing w:before="0" w:after="72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0"/>
    <w:docVar w:name="curNumDef" w:val="Para"/>
    <w:docVar w:name="DOCX97_1" w:val="4bpt01!.doc"/>
    <w:docVar w:name="DOCX97_10" w:val="11/3/97 10:29:20 AM"/>
    <w:docVar w:name="DOCX97_2" w:val="e:\dms.old\orshefsk\4bpt01!.doc"/>
    <w:docVar w:name="DOCX97_3" w:val="WORD7"/>
    <w:docVar w:name="DOCX97_4" w:val="e:\dms\orshefsk\delta\4bpt01!.doc"/>
    <w:docVar w:name="DOCX97_5" w:val=" 12288"/>
    <w:docVar w:name="DOCX97_6" w:val="24064"/>
    <w:docVar w:name="DOCX97_7" w:val="8/8/95 2:04:47 PM"/>
    <w:docVar w:name="DOCX97_8" w:val="8/8/95 2:14:54 PM"/>
    <w:docVar w:name="DOCX97_89" w:val="Word7MacrosDone"/>
    <w:docVar w:name="DOCX97_91" w:val="GreenbergTraurig"/>
    <w:docVar w:name="DOCX97_92" w:val="8/8/95"/>
    <w:docVar w:name="DOCX97_93" w:val="2:14:56 PM"/>
    <w:docVar w:name="gtTLAUPref" w:val="1"/>
    <w:docVar w:name="gtTLDlgPref" w:val="Last page;36 points;Left;6;1;1;1;1;0;0;0"/>
    <w:docVar w:name="gtTLStatus" w:val="updateable"/>
    <w:docVar w:name="ParaCustomNum" w:val="¿ALPHABETIC¿.¿No¿¿Arabic¿.¿No¿¿alphabetic¿.¿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DirectDialLine">
    <w:name w:val="DirectDialLine"/>
    <w:basedOn w:val="Normal"/>
    <w:next w:val="DateLine"/>
    <w:qFormat/>
    <w:pPr>
      <w:tabs>
        <w:tab w:val="clear" w:pos="720"/>
        <w:tab w:val="left" w:pos="5040" w:leader="none"/>
      </w:tabs>
    </w:pPr>
    <w:rPr>
      <w:sz w:val="16"/>
    </w:rPr>
  </w:style>
  <w:style w:type="paragraph" w:styleId="DateLine">
    <w:name w:val="DateLine"/>
    <w:basedOn w:val="Normal"/>
    <w:next w:val="Normal"/>
    <w:qFormat/>
    <w:pPr>
      <w:tabs>
        <w:tab w:val="clear" w:pos="720"/>
        <w:tab w:val="left" w:pos="5040" w:leader="none"/>
      </w:tabs>
      <w:spacing w:before="0" w:after="240"/>
    </w:pPr>
    <w:rPr/>
  </w:style>
  <w:style w:type="paragraph" w:styleId="ConveyanceLine">
    <w:name w:val="ConveyanceLine"/>
    <w:basedOn w:val="Normal"/>
    <w:next w:val="Normal"/>
    <w:qFormat/>
    <w:pPr>
      <w:tabs>
        <w:tab w:val="clear" w:pos="720"/>
        <w:tab w:val="left" w:pos="5040" w:leader="none"/>
      </w:tabs>
      <w:spacing w:before="0" w:after="240"/>
    </w:pPr>
    <w:rPr/>
  </w:style>
  <w:style w:type="paragraph" w:styleId="ReLine">
    <w:name w:val="ReLine"/>
    <w:basedOn w:val="Normal"/>
    <w:next w:val="Normal"/>
    <w:qFormat/>
    <w:pPr>
      <w:tabs>
        <w:tab w:val="clear" w:pos="720"/>
        <w:tab w:val="left" w:pos="1440" w:leader="none"/>
      </w:tabs>
      <w:spacing w:before="240" w:after="0"/>
      <w:ind w:hanging="720" w:start="1440" w:end="0"/>
      <w:jc w:val="both"/>
    </w:pPr>
    <w:rPr/>
  </w:style>
  <w:style w:type="paragraph" w:styleId="DearLine">
    <w:name w:val="DearLine"/>
    <w:basedOn w:val="Normal"/>
    <w:next w:val="Normal"/>
    <w:qFormat/>
    <w:pPr>
      <w:spacing w:before="240" w:after="240"/>
    </w:pPr>
    <w:rPr/>
  </w:style>
  <w:style w:type="paragraph" w:styleId="SigLine">
    <w:name w:val="SigLine"/>
    <w:basedOn w:val="Normal"/>
    <w:next w:val="Normal"/>
    <w:qFormat/>
    <w:pPr>
      <w:tabs>
        <w:tab w:val="clear" w:pos="720"/>
        <w:tab w:val="left" w:pos="5040" w:leader="none"/>
      </w:tabs>
      <w:spacing w:before="0" w:after="720"/>
    </w:pPr>
    <w:rPr/>
  </w:style>
  <w:style w:type="paragraph" w:styleId="BottomLabel">
    <w:name w:val="BottomLabel"/>
    <w:basedOn w:val="Normal"/>
    <w:next w:val="Normal"/>
    <w:qFormat/>
    <w:pPr>
      <w:spacing w:before="240" w:after="0"/>
    </w:pPr>
    <w:rPr/>
  </w:style>
  <w:style w:type="paragraph" w:styleId="BodyTextIndent">
    <w:name w:val="Body Text Indent"/>
    <w:basedOn w:val="Normal"/>
    <w:pPr>
      <w:spacing w:before="0" w:after="240"/>
      <w:ind w:firstLine="720" w:start="0" w:end="0"/>
      <w:jc w:val="both"/>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2001-07-27T14:03:00Z</dcterms:created>
  <dc:creator/>
  <dc:description/>
  <dc:language>en-CA</dc:language>
  <cp:lastModifiedBy>watersk</cp:lastModifiedBy>
  <cp:lastPrinted>2001-07-27T12:32:00Z</cp:lastPrinted>
  <dcterms:modified xsi:type="dcterms:W3CDTF">2001-07-27T14:09:00Z</dcterms:modified>
  <cp:revision>4</cp:revision>
  <dc:subject/>
  <dc:title>DMO-I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\\ftl-srv01\ORSHEFSKYD\355245v01\7M3X01!.DOC\7/27/01</vt:lpwstr>
  </property>
</Properties>
</file>