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4230"/>
        <w:gridCol w:w="18"/>
        <w:gridCol w:w="264"/>
        <w:gridCol w:w="23"/>
        <w:gridCol w:w="5005"/>
        <w:gridCol w:w="18"/>
      </w:tblGrid>
      <w:tr>
        <w:trPr/>
        <w:tc>
          <w:tcPr>
            <w:tcW w:w="4248" w:type="dxa"/>
            <w:gridSpan w:val="2"/>
            <w:tcBorders/>
          </w:tcPr>
          <w:p>
            <w:pPr>
              <w:pStyle w:val="SingleSpacing"/>
              <w:snapToGrid w:val="false"/>
              <w:rPr/>
            </w:pPr>
            <w:r>
              <w:rPr/>
            </w:r>
          </w:p>
        </w:tc>
        <w:tc>
          <w:tcPr>
            <w:tcW w:w="264" w:type="dxa"/>
            <w:tcBorders/>
          </w:tcPr>
          <w:p>
            <w:pPr>
              <w:pStyle w:val="SingleSpacing"/>
              <w:snapToGrid w:val="false"/>
              <w:rPr/>
            </w:pPr>
            <w:r>
              <w:rPr/>
            </w:r>
            <w:bookmarkStart w:id="0" w:name="CourtNameRight"/>
            <w:bookmarkStart w:id="1" w:name="CourtNameRight"/>
            <w:bookmarkEnd w:id="1"/>
          </w:p>
        </w:tc>
        <w:tc>
          <w:tcPr>
            <w:tcW w:w="5046" w:type="dxa"/>
            <w:gridSpan w:val="2"/>
            <w:tcBorders/>
          </w:tcPr>
          <w:p>
            <w:pPr>
              <w:pStyle w:val="SingleSpacing"/>
              <w:rPr/>
            </w:pPr>
            <w:r>
              <w:rPr/>
              <w:t xml:space="preserve">IN THE CIRCUIT COURT OF THE SEVENTEENTH JUDICIAL CIRCUIT IN AND FOR BROWARD COUNTY, FLORIDA </w:t>
            </w:r>
          </w:p>
          <w:p>
            <w:pPr>
              <w:pStyle w:val="SingleSpacing"/>
              <w:rPr/>
            </w:pPr>
            <w:r>
              <w:rPr/>
            </w:r>
          </w:p>
          <w:p>
            <w:pPr>
              <w:pStyle w:val="SingleSpacing"/>
              <w:rPr/>
            </w:pPr>
            <w:r>
              <w:rPr/>
              <w:t xml:space="preserve">GENERAL CIVIL DIVISION </w:t>
            </w:r>
          </w:p>
          <w:p>
            <w:pPr>
              <w:pStyle w:val="SingleSpacing"/>
              <w:rPr/>
            </w:pPr>
            <w:r>
              <w:rPr/>
            </w:r>
          </w:p>
        </w:tc>
      </w:tr>
      <w:tr>
        <w:trPr/>
        <w:tc>
          <w:tcPr>
            <w:tcW w:w="4248" w:type="dxa"/>
            <w:gridSpan w:val="2"/>
            <w:tcBorders/>
          </w:tcPr>
          <w:p>
            <w:pPr>
              <w:pStyle w:val="SingleSpacing"/>
              <w:snapToGrid w:val="false"/>
              <w:rPr/>
            </w:pPr>
            <w:r>
              <w:rPr/>
            </w:r>
          </w:p>
        </w:tc>
        <w:tc>
          <w:tcPr>
            <w:tcW w:w="264" w:type="dxa"/>
            <w:tcBorders/>
          </w:tcPr>
          <w:p>
            <w:pPr>
              <w:pStyle w:val="SingleSpacing"/>
              <w:snapToGrid w:val="false"/>
              <w:rPr/>
            </w:pPr>
            <w:r>
              <w:rPr/>
            </w:r>
            <w:bookmarkStart w:id="2" w:name="CaseNo"/>
            <w:bookmarkStart w:id="3" w:name="CaseNo"/>
            <w:bookmarkEnd w:id="3"/>
          </w:p>
        </w:tc>
        <w:tc>
          <w:tcPr>
            <w:tcW w:w="5046" w:type="dxa"/>
            <w:gridSpan w:val="2"/>
            <w:tcBorders/>
          </w:tcPr>
          <w:p>
            <w:pPr>
              <w:pStyle w:val="Normal"/>
              <w:rPr/>
            </w:pPr>
            <w:r>
              <w:rPr/>
              <w:t>CASE NO. 01-012055</w:t>
            </w:r>
          </w:p>
        </w:tc>
      </w:tr>
      <w:tr>
        <w:trPr/>
        <w:tc>
          <w:tcPr>
            <w:tcW w:w="4230" w:type="dxa"/>
            <w:tcBorders>
              <w:bottom w:val="single" w:sz="6" w:space="0" w:color="000000"/>
            </w:tcBorders>
            <w:tcMar>
              <w:start w:w="0" w:type="dxa"/>
              <w:end w:w="0" w:type="dxa"/>
            </w:tcMar>
          </w:tcPr>
          <w:p>
            <w:pPr>
              <w:pStyle w:val="SingleSpacing"/>
              <w:jc w:val="start"/>
              <w:rPr/>
            </w:pPr>
            <w:r>
              <w:rPr>
                <w:bCs/>
              </w:rPr>
              <w:t>CITY OF COCONUT CREEK, a Florida municipal corporation,</w:t>
            </w:r>
            <w:r>
              <w:rPr/>
              <w:t xml:space="preserve"> </w:t>
            </w:r>
          </w:p>
          <w:p>
            <w:pPr>
              <w:pStyle w:val="SingleSpacing"/>
              <w:rPr/>
            </w:pPr>
            <w:r>
              <w:rPr/>
            </w:r>
          </w:p>
          <w:p>
            <w:pPr>
              <w:pStyle w:val="Normal5"/>
              <w:tabs>
                <w:tab w:val="clear" w:pos="720"/>
              </w:tabs>
              <w:spacing w:lineRule="auto" w:line="240"/>
              <w:rPr/>
            </w:pPr>
            <w:r>
              <w:rPr/>
              <w:t>Plaintiff,</w:t>
            </w:r>
          </w:p>
          <w:p>
            <w:pPr>
              <w:pStyle w:val="Normal"/>
              <w:rPr/>
            </w:pPr>
            <w:r>
              <w:rPr/>
            </w:r>
          </w:p>
          <w:p>
            <w:pPr>
              <w:pStyle w:val="SingleSpacing"/>
              <w:rPr/>
            </w:pPr>
            <w:r>
              <w:rPr/>
              <w:t>v.</w:t>
            </w:r>
          </w:p>
          <w:p>
            <w:pPr>
              <w:pStyle w:val="SingleSpacing"/>
              <w:rPr/>
            </w:pPr>
            <w:r>
              <w:rPr/>
            </w:r>
          </w:p>
          <w:p>
            <w:pPr>
              <w:pStyle w:val="SingleSpacing"/>
              <w:jc w:val="start"/>
              <w:rPr>
                <w:bCs/>
              </w:rPr>
            </w:pPr>
            <w:r>
              <w:rPr>
                <w:bCs/>
              </w:rPr>
              <w:t>CITY OF DEERFIELD BEACH, a Florida municipal corporation</w:t>
            </w:r>
          </w:p>
          <w:p>
            <w:pPr>
              <w:pStyle w:val="SingleSpacing"/>
              <w:jc w:val="start"/>
              <w:rPr>
                <w:bCs/>
              </w:rPr>
            </w:pPr>
            <w:r>
              <w:rPr>
                <w:bCs/>
              </w:rPr>
            </w:r>
          </w:p>
          <w:p>
            <w:pPr>
              <w:pStyle w:val="Normal5"/>
              <w:tabs>
                <w:tab w:val="clear" w:pos="720"/>
              </w:tabs>
              <w:spacing w:lineRule="auto" w:line="240"/>
              <w:rPr/>
            </w:pPr>
            <w:r>
              <w:rPr/>
              <w:t>Defendant.</w:t>
            </w:r>
          </w:p>
          <w:p>
            <w:pPr>
              <w:pStyle w:val="SingleSpacing"/>
              <w:rPr/>
            </w:pPr>
            <w:r>
              <w:rPr/>
            </w:r>
          </w:p>
        </w:tc>
        <w:tc>
          <w:tcPr>
            <w:tcW w:w="305" w:type="dxa"/>
            <w:gridSpan w:val="3"/>
            <w:tcBorders/>
            <w:tcMar>
              <w:start w:w="0" w:type="dxa"/>
              <w:end w:w="0" w:type="dxa"/>
            </w:tcMar>
          </w:tcPr>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p>
            <w:pPr>
              <w:pStyle w:val="SingleSpacing"/>
              <w:rPr/>
            </w:pPr>
            <w:r>
              <w:rPr/>
              <w:t>)</w:t>
            </w:r>
          </w:p>
        </w:tc>
        <w:tc>
          <w:tcPr>
            <w:tcW w:w="5005" w:type="dxa"/>
            <w:tcBorders/>
            <w:tcMar>
              <w:start w:w="0" w:type="dxa"/>
              <w:end w:w="0" w:type="dxa"/>
            </w:tcMar>
          </w:tcPr>
          <w:p>
            <w:pPr>
              <w:pStyle w:val="SingleSpacing"/>
              <w:snapToGrid w:val="false"/>
              <w:jc w:val="center"/>
              <w:rPr>
                <w:b/>
                <w:u w:val="single"/>
              </w:rPr>
            </w:pPr>
            <w:r>
              <w:rPr>
                <w:b/>
                <w:u w:val="single"/>
              </w:rPr>
            </w:r>
          </w:p>
          <w:p>
            <w:pPr>
              <w:pStyle w:val="SingleSpacing"/>
              <w:jc w:val="center"/>
              <w:rPr>
                <w:b/>
                <w:u w:val="single"/>
              </w:rPr>
            </w:pPr>
            <w:r>
              <w:rPr>
                <w:b/>
                <w:u w:val="single"/>
              </w:rPr>
            </w:r>
          </w:p>
          <w:p>
            <w:pPr>
              <w:pStyle w:val="SingleSpacing"/>
              <w:jc w:val="center"/>
              <w:rPr>
                <w:b/>
                <w:u w:val="single"/>
              </w:rPr>
            </w:pPr>
            <w:r>
              <w:rPr>
                <w:b/>
                <w:u w:val="single"/>
              </w:rPr>
            </w:r>
          </w:p>
          <w:p>
            <w:pPr>
              <w:pStyle w:val="SingleSpacing"/>
              <w:jc w:val="center"/>
              <w:rPr>
                <w:b/>
                <w:u w:val="single"/>
              </w:rPr>
            </w:pPr>
            <w:r>
              <w:rPr>
                <w:b/>
                <w:u w:val="single"/>
              </w:rPr>
            </w:r>
          </w:p>
          <w:p>
            <w:pPr>
              <w:pStyle w:val="SingleSpacing"/>
              <w:jc w:val="center"/>
              <w:rPr>
                <w:b/>
                <w:u w:val="single"/>
              </w:rPr>
            </w:pPr>
            <w:r>
              <w:rPr>
                <w:b/>
                <w:u w:val="single"/>
              </w:rPr>
            </w:r>
          </w:p>
          <w:p>
            <w:pPr>
              <w:pStyle w:val="SingleSpacing"/>
              <w:jc w:val="center"/>
              <w:rPr>
                <w:b/>
                <w:u w:val="single"/>
              </w:rPr>
            </w:pPr>
            <w:r>
              <w:rPr>
                <w:b/>
                <w:u w:val="single"/>
              </w:rPr>
            </w:r>
          </w:p>
          <w:p>
            <w:pPr>
              <w:pStyle w:val="SingleSpacing"/>
              <w:jc w:val="center"/>
              <w:rPr/>
            </w:pPr>
            <w:r>
              <w:rPr>
                <w:b/>
              </w:rPr>
              <w:t xml:space="preserve">DEERFIELD BEACH ENERGY CENTER’S </w:t>
            </w:r>
            <w:r>
              <w:rPr>
                <w:b/>
                <w:u w:val="single"/>
              </w:rPr>
              <w:t>MOTION TO INTERVENE</w:t>
            </w:r>
          </w:p>
        </w:tc>
      </w:tr>
    </w:tbl>
    <w:p>
      <w:pPr>
        <w:pStyle w:val="Normal"/>
        <w:rPr/>
      </w:pPr>
      <w:r>
        <w:rPr/>
      </w:r>
    </w:p>
    <w:p>
      <w:pPr>
        <w:pStyle w:val="Normal"/>
        <w:spacing w:lineRule="auto" w:line="480"/>
        <w:ind w:firstLine="720" w:end="0"/>
        <w:jc w:val="both"/>
        <w:rPr/>
      </w:pPr>
      <w:r>
        <w:rPr/>
        <w:t>DEERFIELD BEACH ENERGY CENTER, LLC (“DBEC”), through undersigned counsel and pursuant to Rule 1.230 of the Florida Rules of Civil Procedure, hereby respectfully moves this Honorable Court for the entry of an order allowing it to intervene in this action, and in support thereof, DBEC states:</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t>DBEC applied for and was granted, following a public hearing, site plan approval for construction of an energy plant within the city limits of the City of Deerfield Beach.</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t xml:space="preserve">Through this recently filed lawsuit, the neighboring City of Coconut Creek seeks to invalidate and revoke Deerfield Beach’s approval of DBEC’s site plan.  Thus, DBEC’s approved site plan application is not only the subject matter of this lawsuit but also is directly at issue herein. </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t xml:space="preserve">Specifically, in Count I of the Complaint  --  “Petition For Writ of Certiorari”  --  Plaintiff City of Coconut Creek purportedly alleges that the decision by Defendant City of Deerfield Beach to grant DBEC’s site plan is not consistent with the Broward County Land Use Plan or the Deerfield Beach Land Use Plan.  In Count II of the Complaint, Plaintiff seeks a mandatory permanent injunction “to have the Deerfield Beach Development Review Committee’s approval of the site plan for the Deerfield Beach Energy Center </w:t>
      </w:r>
      <w:r>
        <w:rPr>
          <w:i/>
          <w:iCs/>
        </w:rPr>
        <w:t>reversed</w:t>
      </w:r>
      <w:r>
        <w:rPr/>
        <w:t>.”  Complaint, ¶25 (emphasis supplied).  In Count III of its Complaint, Plaintiff seeks the Court to declare invalid Deerfield Beach’s approved site plan application.  Complaint, ¶38.</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t>The law on intervention is clear:</w:t>
      </w:r>
    </w:p>
    <w:p>
      <w:pPr>
        <w:pStyle w:val="Normal"/>
        <w:ind w:start="1440" w:end="1440"/>
        <w:jc w:val="both"/>
        <w:rPr/>
      </w:pPr>
      <w:r>
        <w:rPr/>
        <w:t xml:space="preserve">[a]nyone </w:t>
      </w:r>
      <w:r>
        <w:rPr>
          <w:i/>
          <w:iCs/>
        </w:rPr>
        <w:t>claiming an interest</w:t>
      </w:r>
      <w:r>
        <w:rPr/>
        <w:t xml:space="preserve"> in pending litigation may at any time be permitted to assert a right by intervention….</w:t>
      </w:r>
    </w:p>
    <w:p>
      <w:pPr>
        <w:pStyle w:val="Normal"/>
        <w:ind w:start="1440" w:end="1440"/>
        <w:jc w:val="both"/>
        <w:rPr/>
      </w:pPr>
      <w:r>
        <w:rPr/>
      </w:r>
    </w:p>
    <w:p>
      <w:pPr>
        <w:pStyle w:val="Normal"/>
        <w:spacing w:lineRule="auto" w:line="480"/>
        <w:ind w:end="1440"/>
        <w:jc w:val="both"/>
        <w:rPr/>
      </w:pPr>
      <w:r>
        <w:rPr>
          <w:u w:val="single"/>
        </w:rPr>
        <w:t>See</w:t>
      </w:r>
      <w:r>
        <w:rPr/>
        <w:t xml:space="preserve"> Rule 1.230, Fla. R. Civ. P. (emphasis supplied).</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5</w:t>
      </w:r>
      <w:r>
        <w:rPr>
          <w:lang w:val="en-CA" w:eastAsia="en-CA"/>
        </w:rPr>
      </w:r>
      <w:r>
        <w:rPr>
          <w:lang w:val="en-CA" w:eastAsia="en-CA"/>
        </w:rPr>
        <w:fldChar w:fldCharType="end"/>
      </w:r>
      <w:r>
        <w:rPr/>
        <w:t>.</w:t>
        <w:tab/>
        <w:t>The often-cited test applied by Florida courts to determine what interest entitles a party to intervene is as follows:</w:t>
      </w:r>
    </w:p>
    <w:p>
      <w:pPr>
        <w:pStyle w:val="Normal"/>
        <w:ind w:start="1440" w:end="1440"/>
        <w:jc w:val="both"/>
        <w:rPr/>
      </w:pPr>
      <w:r>
        <w:rPr/>
        <w:t>[t]he interest which will entitle a person to intervene…must be in the matter in litigation, and of such a direct and immediate character that the intervenor will either gain or lose by the direct legal operation and effect of the judgment.  In other words, the interest must be that created by a claim to the demand in suit or some part thereof, or a claim to, or lien upon, the property or some part thereof, which is the subject of litigation.</w:t>
      </w:r>
    </w:p>
    <w:p>
      <w:pPr>
        <w:pStyle w:val="Normal"/>
        <w:ind w:start="1440" w:end="1440"/>
        <w:jc w:val="both"/>
        <w:rPr/>
      </w:pPr>
      <w:r>
        <w:rPr/>
      </w:r>
    </w:p>
    <w:p>
      <w:pPr>
        <w:pStyle w:val="Normal"/>
        <w:spacing w:lineRule="auto" w:line="480"/>
        <w:jc w:val="both"/>
        <w:rPr/>
      </w:pPr>
      <w:r>
        <w:rPr>
          <w:u w:val="single"/>
        </w:rPr>
        <w:t>Union Central Life Insurance Company v. Carlisle, etc.</w:t>
      </w:r>
      <w:r>
        <w:rPr/>
        <w:t xml:space="preserve">, 593 So. 2d 505, 507 (Fla. 1992), (citing </w:t>
      </w:r>
      <w:r>
        <w:rPr>
          <w:u w:val="single"/>
        </w:rPr>
        <w:t>Morgareidge v. Howey</w:t>
      </w:r>
      <w:r>
        <w:rPr/>
        <w:t>, 78 So. 14, 15 (Fla. 1918)).</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6</w:t>
      </w:r>
      <w:r>
        <w:rPr>
          <w:lang w:val="en-CA" w:eastAsia="en-CA"/>
        </w:rPr>
      </w:r>
      <w:r>
        <w:rPr>
          <w:lang w:val="en-CA" w:eastAsia="en-CA"/>
        </w:rPr>
        <w:fldChar w:fldCharType="end"/>
      </w:r>
      <w:r>
        <w:rPr/>
        <w:t>.</w:t>
        <w:tab/>
        <w:t>By virtue of Plaintiff’s requested relief, DBEC has a direct, immediate interest in this litigation such that it will either gain or lose by the direct legal operation and effect of any judgment that may be entered in this action.  Therefore, this Court must permit it to intervene.</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7</w:t>
      </w:r>
      <w:r>
        <w:rPr>
          <w:lang w:val="en-CA" w:eastAsia="en-CA"/>
        </w:rPr>
      </w:r>
      <w:r>
        <w:rPr>
          <w:lang w:val="en-CA" w:eastAsia="en-CA"/>
        </w:rPr>
        <w:fldChar w:fldCharType="end"/>
      </w:r>
      <w:r>
        <w:rPr/>
        <w:t>.</w:t>
        <w:tab/>
        <w:t xml:space="preserve">Under the applicable test, Florida courts liberally permit intervention.  </w:t>
      </w:r>
      <w:r>
        <w:rPr>
          <w:u w:val="single"/>
        </w:rPr>
        <w:t>National Wildlife Federation, Inc. v. J.T. Glisson</w:t>
      </w:r>
      <w:r>
        <w:rPr/>
        <w:t>, 531 So. 2d 996, 998 (Fla. 1</w:t>
      </w:r>
      <w:r>
        <w:rPr>
          <w:vertAlign w:val="superscript"/>
        </w:rPr>
        <w:t>st</w:t>
      </w:r>
      <w:r>
        <w:rPr/>
        <w:t xml:space="preserve"> DCA 1988) (state wildlife groups permitted to intervene in suit challenging county zoning amendment which limited further development of area); </w:t>
      </w:r>
      <w:r>
        <w:rPr>
          <w:u w:val="single"/>
        </w:rPr>
        <w:t>Coral Bay Property Owners Association v. City of Coral Gables</w:t>
      </w:r>
      <w:r>
        <w:rPr/>
        <w:t xml:space="preserve">, 305 So. 2d 853 (Fla. 3d DCA 1974) ( where a special use zoning ordinance is alleged to merely </w:t>
      </w:r>
      <w:r>
        <w:rPr>
          <w:i/>
          <w:iCs/>
        </w:rPr>
        <w:t>affect</w:t>
      </w:r>
      <w:r>
        <w:rPr/>
        <w:t xml:space="preserve"> surrounding property owners, such affected property owners are permitted to intervene in a suit between the grantee of the special use zoning ordinance and the city to determine the extent of the grantee’s rights thereunder).</w:t>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8</w:t>
      </w:r>
      <w:r>
        <w:rPr>
          <w:lang w:val="en-CA" w:eastAsia="en-CA"/>
        </w:rPr>
      </w:r>
      <w:r>
        <w:rPr>
          <w:lang w:val="en-CA" w:eastAsia="en-CA"/>
        </w:rPr>
        <w:fldChar w:fldCharType="end"/>
      </w:r>
      <w:r>
        <w:rPr/>
        <w:t>.</w:t>
        <w:tab/>
        <w:t xml:space="preserve">In this case, DBEC’s granted site plan application is directly at issue, thereby necessitating DBEC’s intervention and making DBEC an indispensable party to this litigation.  </w:t>
      </w:r>
      <w:r>
        <w:rPr>
          <w:u w:val="single"/>
        </w:rPr>
        <w:t>See</w:t>
      </w:r>
      <w:r>
        <w:rPr/>
        <w:t xml:space="preserve"> </w:t>
      </w:r>
      <w:r>
        <w:rPr>
          <w:u w:val="single"/>
        </w:rPr>
        <w:t>Sarasota County v. Stanton Investment Company of Missouri</w:t>
      </w:r>
      <w:r>
        <w:rPr/>
        <w:t xml:space="preserve">, 283 So. 2d 152 (Fla. 2d DCA 1973).  In </w:t>
      </w:r>
      <w:r>
        <w:rPr>
          <w:i/>
          <w:iCs/>
        </w:rPr>
        <w:t>Stanton</w:t>
      </w:r>
      <w:r>
        <w:rPr/>
        <w:t xml:space="preserve">, a 99-year lessee of certain property, acting as the property owner’s authorized agent, applied for and was granted a temporary use permit for the subject property.  Contesting the validity of the lessee’s authority to act as its agent, the property owner brought suit against the city, seeking an injunction to invalidate and revoke the application.  Finding that the </w:t>
      </w:r>
      <w:r>
        <w:rPr>
          <w:i/>
          <w:iCs/>
        </w:rPr>
        <w:t>lessee</w:t>
      </w:r>
      <w:r>
        <w:rPr/>
        <w:t xml:space="preserve"> was an indispensable party to the litigation, the court held:</w:t>
      </w:r>
    </w:p>
    <w:p>
      <w:pPr>
        <w:pStyle w:val="Normal"/>
        <w:ind w:start="1440" w:end="1440"/>
        <w:jc w:val="both"/>
        <w:rPr/>
      </w:pPr>
      <w:r>
        <w:rPr/>
        <w:t>[t]here can be little doubt that by its ruling the trial court necessarily affected the permit rights granted [to the lessee] to use the subject property. We think in all fairness [the lessee] should have had the opportunity to present its case in court and, therefore, should have been joined in the case as a necessary and indispensable party.</w:t>
      </w:r>
    </w:p>
    <w:p>
      <w:pPr>
        <w:pStyle w:val="Normal"/>
        <w:ind w:end="1440"/>
        <w:jc w:val="both"/>
        <w:rPr/>
      </w:pPr>
      <w:r>
        <w:rPr>
          <w:u w:val="single"/>
        </w:rPr>
        <w:t>Id</w:t>
      </w:r>
      <w:r>
        <w:rPr/>
        <w:t>. at 154.</w:t>
      </w:r>
    </w:p>
    <w:p>
      <w:pPr>
        <w:pStyle w:val="Normal"/>
        <w:ind w:end="1440"/>
        <w:jc w:val="both"/>
        <w:rPr/>
      </w:pPr>
      <w:r>
        <w:rPr/>
      </w:r>
    </w:p>
    <w:p>
      <w:pPr>
        <w:pStyle w:val="Normal"/>
        <w:spacing w:lineRule="auto" w:line="480"/>
        <w:ind w:firstLine="720" w:end="0"/>
        <w:jc w:val="both"/>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9</w:t>
      </w:r>
      <w:r>
        <w:rPr>
          <w:lang w:val="en-CA" w:eastAsia="en-CA"/>
        </w:rPr>
      </w:r>
      <w:r>
        <w:rPr>
          <w:lang w:val="en-CA" w:eastAsia="en-CA"/>
        </w:rPr>
        <w:fldChar w:fldCharType="end"/>
      </w:r>
      <w:r>
        <w:rPr/>
        <w:t>.</w:t>
        <w:tab/>
        <w:t>As the present holder of the approved site plan application that the Plaintiff now seeks to invalidate through the instant lawsuit, DBEC is directly affected by, and is entitled to be heard as to, the substantive issues involved in this litigation.</w:t>
      </w:r>
    </w:p>
    <w:p>
      <w:pPr>
        <w:pStyle w:val="Normal"/>
        <w:spacing w:lineRule="auto" w:line="480"/>
        <w:ind w:firstLine="720" w:end="0"/>
        <w:jc w:val="both"/>
        <w:rPr/>
      </w:pPr>
      <w:r>
        <w:rPr/>
        <w:t>WHEREFORE, DEERFIELD BEACH ENERGY CENTER, LLC respectfully requests that this Court enter an order pursuant to Rule 1.230, Fla. R. Civ. P., permitting it to intervene in this lawsuit, and requests such other and further relief as this Court deems just and proper.</w:t>
      </w:r>
    </w:p>
    <w:p>
      <w:pPr>
        <w:pStyle w:val="SingleSpacing"/>
        <w:ind w:start="5040" w:end="0"/>
        <w:rPr/>
      </w:pPr>
      <w:r>
        <w:rPr/>
        <w:t>Respectfully submitted,</w:t>
      </w:r>
    </w:p>
    <w:p>
      <w:pPr>
        <w:pStyle w:val="SingleSpacing"/>
        <w:ind w:start="5040" w:end="0"/>
        <w:rPr/>
      </w:pPr>
      <w:r>
        <w:rPr/>
      </w:r>
    </w:p>
    <w:p>
      <w:pPr>
        <w:pStyle w:val="SingleSpacing"/>
        <w:ind w:start="5040" w:end="0"/>
        <w:rPr/>
      </w:pPr>
      <w:r>
        <w:rPr/>
        <w:t>GREENBERG TRAURIG, P.A.</w:t>
      </w:r>
    </w:p>
    <w:p>
      <w:pPr>
        <w:pStyle w:val="SingleSpacing"/>
        <w:ind w:start="5040" w:end="0"/>
        <w:rPr/>
      </w:pPr>
      <w:r>
        <w:rPr/>
        <w:t>Attorneys for Intervenor</w:t>
      </w:r>
    </w:p>
    <w:p>
      <w:pPr>
        <w:pStyle w:val="SingleSpacing"/>
        <w:ind w:start="5040" w:end="0"/>
        <w:rPr>
          <w:sz w:val="20"/>
        </w:rPr>
      </w:pPr>
      <w:r>
        <w:rPr>
          <w:sz w:val="20"/>
        </w:rPr>
        <w:t>DEERFIELD BEACH ENERGY CENTER, LLC</w:t>
      </w:r>
    </w:p>
    <w:p>
      <w:pPr>
        <w:pStyle w:val="SingleSpacing"/>
        <w:ind w:start="5040" w:end="0"/>
        <w:rPr/>
      </w:pPr>
      <w:r>
        <w:rPr/>
        <w:t>515 East Las Olas Boulevard</w:t>
      </w:r>
    </w:p>
    <w:p>
      <w:pPr>
        <w:pStyle w:val="SingleSpacing"/>
        <w:ind w:start="5040" w:end="0"/>
        <w:rPr/>
      </w:pPr>
      <w:r>
        <w:rPr/>
        <w:t>Suite 1500</w:t>
      </w:r>
    </w:p>
    <w:p>
      <w:pPr>
        <w:pStyle w:val="SingleSpacing"/>
        <w:ind w:start="5040" w:end="0"/>
        <w:rPr/>
      </w:pPr>
      <w:r>
        <w:rPr/>
        <w:t>Ft. Lauderdale, Florida 33301</w:t>
      </w:r>
    </w:p>
    <w:p>
      <w:pPr>
        <w:pStyle w:val="SingleSpacing"/>
        <w:ind w:start="5040" w:end="0"/>
        <w:rPr/>
      </w:pPr>
      <w:r>
        <w:rPr/>
        <w:t>Telephone: (954) 765-0500</w:t>
      </w:r>
    </w:p>
    <w:p>
      <w:pPr>
        <w:pStyle w:val="SingleSpacing"/>
        <w:tabs>
          <w:tab w:val="clear" w:pos="720"/>
          <w:tab w:val="left" w:pos="6210" w:leader="none"/>
        </w:tabs>
        <w:ind w:start="5040" w:end="0"/>
        <w:rPr/>
      </w:pPr>
      <w:r>
        <w:rPr/>
        <w:t>Telefax:</w:t>
        <w:tab/>
        <w:t>(954) 765-1477</w:t>
      </w:r>
    </w:p>
    <w:p>
      <w:pPr>
        <w:pStyle w:val="SingleSpacing"/>
        <w:tabs>
          <w:tab w:val="clear" w:pos="720"/>
          <w:tab w:val="left" w:pos="9180" w:leader="none"/>
        </w:tabs>
        <w:ind w:start="5040" w:end="0"/>
        <w:rPr/>
      </w:pPr>
      <w:r>
        <w:rPr/>
      </w:r>
    </w:p>
    <w:p>
      <w:pPr>
        <w:pStyle w:val="SingleSpacing"/>
        <w:tabs>
          <w:tab w:val="clear" w:pos="720"/>
          <w:tab w:val="left" w:pos="9180" w:leader="none"/>
        </w:tabs>
        <w:ind w:start="5040" w:end="0"/>
        <w:rPr/>
      </w:pPr>
      <w:r>
        <w:rPr/>
        <w:t>By:</w:t>
      </w:r>
      <w:r>
        <w:rPr>
          <w:u w:val="single"/>
        </w:rPr>
        <w:tab/>
      </w:r>
    </w:p>
    <w:p>
      <w:pPr>
        <w:pStyle w:val="SingleSpacing"/>
        <w:ind w:start="5040" w:end="0"/>
        <w:jc w:val="center"/>
        <w:rPr/>
      </w:pPr>
      <w:r>
        <w:rPr/>
        <w:t>JEFFREY GILBERT</w:t>
      </w:r>
    </w:p>
    <w:p>
      <w:pPr>
        <w:pStyle w:val="SingleSpacing"/>
        <w:ind w:start="5040" w:end="0"/>
        <w:jc w:val="center"/>
        <w:rPr/>
      </w:pPr>
      <w:r>
        <w:rPr/>
        <w:t>Florida Bar No. 375411</w:t>
      </w:r>
    </w:p>
    <w:p>
      <w:pPr>
        <w:pStyle w:val="SingleSpacing"/>
        <w:ind w:start="5040" w:end="0"/>
        <w:jc w:val="center"/>
        <w:rPr/>
      </w:pPr>
      <w:r>
        <w:rPr/>
        <w:t>ELLIOT H. SCHERKER</w:t>
      </w:r>
    </w:p>
    <w:p>
      <w:pPr>
        <w:pStyle w:val="SingleSpacing"/>
        <w:ind w:start="5040" w:end="0"/>
        <w:jc w:val="center"/>
        <w:rPr/>
      </w:pPr>
      <w:r>
        <w:rPr/>
        <w:t>Florida Bar No. 202304</w:t>
      </w:r>
    </w:p>
    <w:p>
      <w:pPr>
        <w:pStyle w:val="Normal"/>
        <w:jc w:val="center"/>
        <w:rPr>
          <w:b/>
          <w:u w:val="single"/>
        </w:rPr>
      </w:pPr>
      <w:r>
        <w:rPr>
          <w:b/>
          <w:u w:val="single"/>
        </w:rPr>
      </w:r>
    </w:p>
    <w:p>
      <w:pPr>
        <w:pStyle w:val="Normal"/>
        <w:jc w:val="center"/>
        <w:rPr>
          <w:b/>
          <w:u w:val="single"/>
        </w:rPr>
      </w:pPr>
      <w:r>
        <w:rPr>
          <w:b/>
          <w:u w:val="single"/>
        </w:rPr>
        <w:t>CERTIFICATE OF SERVICE</w:t>
      </w:r>
    </w:p>
    <w:p>
      <w:pPr>
        <w:pStyle w:val="Normal"/>
        <w:ind w:firstLine="720" w:end="0"/>
        <w:jc w:val="both"/>
        <w:rPr/>
      </w:pPr>
      <w:r>
        <w:rPr/>
      </w:r>
    </w:p>
    <w:p>
      <w:pPr>
        <w:pStyle w:val="Normal"/>
        <w:spacing w:lineRule="auto" w:line="480"/>
        <w:ind w:firstLine="720" w:end="0"/>
        <w:jc w:val="both"/>
        <w:rPr/>
      </w:pPr>
      <w:r>
        <w:rPr/>
        <w:t xml:space="preserve">I HEREBY CERTIFY that a true and correct copy of the foregoing was served by Telefax and U.S. Mail upon: </w:t>
      </w:r>
      <w:r>
        <w:rPr>
          <w:b/>
          <w:bCs/>
        </w:rPr>
        <w:t>Nancy A. Cousins, Esq.,</w:t>
      </w:r>
      <w:r>
        <w:rPr/>
        <w:t xml:space="preserve"> Assistant City Attorney, City of Coconut Creek, 4800 West Copans Road, Coconut Creek, Florida 33063; and </w:t>
      </w:r>
      <w:r>
        <w:rPr>
          <w:b/>
          <w:bCs/>
        </w:rPr>
        <w:t>Andrew S. Maurodis, Esq.</w:t>
      </w:r>
      <w:r>
        <w:rPr/>
        <w:t>, 150 North East 2</w:t>
      </w:r>
      <w:r>
        <w:rPr>
          <w:vertAlign w:val="superscript"/>
        </w:rPr>
        <w:t>nd</w:t>
      </w:r>
      <w:r>
        <w:rPr/>
        <w:t xml:space="preserve"> Avenue, Deerfield Beach, Florida 33441 , this _____ day of July, 2001.</w:t>
      </w:r>
    </w:p>
    <w:p>
      <w:pPr>
        <w:pStyle w:val="Normal"/>
        <w:tabs>
          <w:tab w:val="clear" w:pos="720"/>
          <w:tab w:val="left" w:pos="9180" w:leader="none"/>
        </w:tabs>
        <w:ind w:firstLine="5040" w:end="0"/>
        <w:rPr>
          <w:u w:val="single"/>
        </w:rPr>
      </w:pPr>
      <w:r>
        <w:rPr>
          <w:u w:val="single"/>
        </w:rPr>
        <w:tab/>
      </w:r>
    </w:p>
    <w:p>
      <w:pPr>
        <w:pStyle w:val="Normal"/>
        <w:ind w:start="5040" w:end="0"/>
        <w:jc w:val="center"/>
        <w:rPr/>
      </w:pPr>
      <w:r>
        <w:rPr/>
        <w:t>JEFFREY GILBERT</w:t>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7">
              <wp:simplePos x="0" y="0"/>
              <wp:positionH relativeFrom="margin">
                <wp:align>left</wp:align>
              </wp:positionH>
              <wp:positionV relativeFrom="paragraph">
                <wp:posOffset>635</wp:posOffset>
              </wp:positionV>
              <wp:extent cx="2416810"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2416810" cy="116840"/>
                      </a:xfrm>
                      <a:prstGeom prst="rect"/>
                      <a:solidFill>
                        <a:srgbClr val="FFFFFF">
                          <a:alpha val="0"/>
                        </a:srgbClr>
                      </a:solidFill>
                    </wps:spPr>
                    <wps:txbx>
                      <w:txbxContent>
                        <w:p>
                          <w:pPr>
                            <w:pStyle w:val="Normal"/>
                            <w:rPr>
                              <w:sz w:val="16"/>
                            </w:rPr>
                          </w:pPr>
                          <w:bookmarkStart w:id="4" w:name="csDocsInfo"/>
                          <w:bookmarkEnd w:id="4"/>
                          <w:r>
                            <w:rPr>
                              <w:sz w:val="16"/>
                            </w:rPr>
                            <w:fldChar w:fldCharType="begin"/>
                          </w:r>
                          <w:r>
                            <w:rPr>
                              <w:sz w:val="16"/>
                            </w:rPr>
                            <w:instrText xml:space="preserve"> DOCPROPERTY "gtTagLine"</w:instrText>
                          </w:r>
                          <w:r>
                            <w:rPr>
                              <w:sz w:val="16"/>
                            </w:rPr>
                            <w:fldChar w:fldCharType="separate"/>
                          </w:r>
                          <w:r>
                            <w:rPr>
                              <w:sz w:val="16"/>
                            </w:rPr>
                            <w:t>\\ftl-srv01\GILBERTJ\355186v01\7M2@01!.DOC\7/30/01</w:t>
                          </w:r>
                          <w:r>
                            <w:rPr>
                              <w:sz w:val="16"/>
                            </w:rPr>
                            <w:fldChar w:fldCharType="end"/>
                          </w:r>
                        </w:p>
                      </w:txbxContent>
                    </wps:txbx>
                    <wps:bodyPr anchor="t" lIns="0" tIns="0" rIns="0" bIns="0">
                      <a:noAutofit/>
                    </wps:bodyPr>
                  </wps:wsp>
                </a:graphicData>
              </a:graphic>
            </wp:anchor>
          </w:drawing>
        </mc:Choice>
        <mc:Fallback>
          <w:pict>
            <v:rect fillcolor="#FFFFFF" style="position:absolute;rotation:-0;width:190.3pt;height:9.2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6"/>
                      </w:rPr>
                    </w:pPr>
                    <w:bookmarkStart w:id="5" w:name="csDocsInfo"/>
                    <w:bookmarkEnd w:id="5"/>
                    <w:r>
                      <w:rPr>
                        <w:sz w:val="16"/>
                      </w:rPr>
                      <w:fldChar w:fldCharType="begin"/>
                    </w:r>
                    <w:r>
                      <w:rPr>
                        <w:sz w:val="16"/>
                      </w:rPr>
                      <w:instrText xml:space="preserve"> DOCPROPERTY "gtTagLine"</w:instrText>
                    </w:r>
                    <w:r>
                      <w:rPr>
                        <w:sz w:val="16"/>
                      </w:rPr>
                      <w:fldChar w:fldCharType="separate"/>
                    </w:r>
                    <w:r>
                      <w:rPr>
                        <w:sz w:val="16"/>
                      </w:rPr>
                      <w:t>\\ftl-srv01\GILBERTJ\355186v01\7M2@01!.DOC\7/30/01</w:t>
                    </w:r>
                    <w:r>
                      <w:rPr>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gtTLAUPref" w:val="0"/>
    <w:docVar w:name="gtTLDlgPref" w:val="Current section (footer);36 points;Left;8;1;1;1;1;0;0;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ing">
    <w:name w:val="Single Spacing"/>
    <w:basedOn w:val="Normal"/>
    <w:qFormat/>
    <w:pPr>
      <w:suppressAutoHyphens w:val="true"/>
      <w:overflowPunct w:val="false"/>
      <w:autoSpaceDE w:val="false"/>
      <w:jc w:val="both"/>
      <w:textAlignment w:val="baseline"/>
    </w:pPr>
    <w:rPr>
      <w:szCs w:val="20"/>
    </w:rPr>
  </w:style>
  <w:style w:type="paragraph" w:styleId="Normal5">
    <w:name w:val="Normal 5"/>
    <w:basedOn w:val="Normal"/>
    <w:qFormat/>
    <w:pPr>
      <w:tabs>
        <w:tab w:val="left" w:pos="720" w:leader="none"/>
      </w:tabs>
      <w:suppressAutoHyphens w:val="true"/>
      <w:overflowPunct w:val="false"/>
      <w:autoSpaceDE w:val="false"/>
      <w:spacing w:lineRule="auto" w:line="480"/>
      <w:ind w:firstLine="720" w:start="0" w:end="0"/>
      <w:jc w:val="both"/>
      <w:textAlignment w:val="baseline"/>
    </w:pPr>
    <w:rPr>
      <w:szCs w:val="20"/>
    </w:rPr>
  </w:style>
  <w:style w:type="paragraph" w:styleId="CommentText">
    <w:name w:val="Comment Text"/>
    <w:basedOn w:val="Normal"/>
    <w:qFormat/>
    <w:pPr>
      <w:suppressAutoHyphens w:val="true"/>
      <w:overflowPunct w:val="false"/>
      <w:autoSpaceDE w:val="false"/>
      <w:jc w:val="both"/>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2001-07-30T10:23:00Z</dcterms:created>
  <dc:creator>benayouna</dc:creator>
  <dc:description/>
  <dc:language>en-CA</dc:language>
  <cp:lastModifiedBy>MIS</cp:lastModifiedBy>
  <cp:lastPrinted>2001-07-30T08:50:00Z</cp:lastPrinted>
  <dcterms:modified xsi:type="dcterms:W3CDTF">2001-07-30T10:23:00Z</dcterms:modified>
  <cp:revision>2</cp:revision>
  <dc:subject/>
  <dc:title>IN THE CIRCUIT COURT OF THE SEVENTEENTH JUDICIAL CIRCUIT IN AND FOR BROWARD COUNTY, FLORIDA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\\ftl-srv01\GILBERTJ\355186v01\7M2@01!.DOC\7/30/01</vt:lpwstr>
  </property>
</Properties>
</file>