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Enero 24, 2000</w:t>
      </w:r>
    </w:p>
    <w:p>
      <w:pPr>
        <w:pStyle w:val="Normal"/>
        <w:jc w:val="both"/>
        <w:rPr>
          <w:sz w:val="24"/>
          <w:lang w:val="es-MX"/>
        </w:rPr>
      </w:pPr>
      <w:r>
        <w:rPr>
          <w:sz w:val="24"/>
          <w:lang w:val="es-MX"/>
        </w:rPr>
      </w:r>
    </w:p>
    <w:p>
      <w:pPr>
        <w:pStyle w:val="Normal"/>
        <w:jc w:val="both"/>
        <w:rPr>
          <w:sz w:val="24"/>
          <w:lang w:val="es-MX"/>
        </w:rPr>
      </w:pPr>
      <w:r>
        <w:rPr>
          <w:sz w:val="24"/>
          <w:lang w:val="es-MX"/>
        </w:rPr>
      </w:r>
    </w:p>
    <w:p>
      <w:pPr>
        <w:pStyle w:val="Normal"/>
        <w:jc w:val="both"/>
        <w:rPr>
          <w:sz w:val="24"/>
          <w:lang w:val="es-MX"/>
        </w:rPr>
      </w:pPr>
      <w:r>
        <w:rPr>
          <w:sz w:val="24"/>
          <w:lang w:val="es-MX"/>
        </w:rPr>
      </w:r>
    </w:p>
    <w:p>
      <w:pPr>
        <w:pStyle w:val="Normal"/>
        <w:jc w:val="both"/>
        <w:rPr>
          <w:sz w:val="24"/>
          <w:lang w:val="es-MX"/>
        </w:rPr>
      </w:pPr>
      <w:r>
        <w:rPr>
          <w:sz w:val="24"/>
          <w:lang w:val="es-MX"/>
        </w:rPr>
      </w:r>
    </w:p>
    <w:p>
      <w:pPr>
        <w:pStyle w:val="Normal"/>
        <w:jc w:val="both"/>
        <w:rPr>
          <w:sz w:val="24"/>
          <w:lang w:val="es-MX"/>
        </w:rPr>
      </w:pPr>
      <w:r>
        <w:rPr>
          <w:sz w:val="24"/>
          <w:lang w:val="es-MX"/>
        </w:rPr>
        <w:t>Republic National Bank of New York (Mexico) S.A.</w:t>
      </w:r>
    </w:p>
    <w:p>
      <w:pPr>
        <w:pStyle w:val="Normal"/>
        <w:jc w:val="both"/>
        <w:rPr>
          <w:sz w:val="24"/>
          <w:lang w:val="es-MX"/>
        </w:rPr>
      </w:pPr>
      <w:r>
        <w:rPr>
          <w:sz w:val="24"/>
          <w:lang w:val="es-MX"/>
        </w:rPr>
        <w:t>División Fiduciaria</w:t>
      </w:r>
    </w:p>
    <w:p>
      <w:pPr>
        <w:pStyle w:val="Normal"/>
        <w:jc w:val="both"/>
        <w:rPr>
          <w:sz w:val="24"/>
          <w:lang w:val="es-MX"/>
        </w:rPr>
      </w:pPr>
      <w:r>
        <w:rPr>
          <w:sz w:val="24"/>
          <w:lang w:val="es-MX"/>
        </w:rPr>
        <w:t>Campos Elíseos 1A,</w:t>
      </w:r>
    </w:p>
    <w:p>
      <w:pPr>
        <w:pStyle w:val="Normal"/>
        <w:jc w:val="both"/>
        <w:rPr>
          <w:sz w:val="24"/>
          <w:lang w:val="es-MX"/>
        </w:rPr>
      </w:pPr>
      <w:r>
        <w:rPr>
          <w:sz w:val="24"/>
          <w:lang w:val="es-MX"/>
        </w:rPr>
        <w:t>Bosque de Chapultepec, 11560</w:t>
      </w:r>
    </w:p>
    <w:p>
      <w:pPr>
        <w:pStyle w:val="Normal"/>
        <w:jc w:val="both"/>
        <w:rPr>
          <w:sz w:val="24"/>
          <w:lang w:val="es-MX"/>
        </w:rPr>
      </w:pPr>
      <w:r>
        <w:rPr>
          <w:sz w:val="24"/>
          <w:lang w:val="es-MX"/>
        </w:rPr>
        <w:t>Mexico, D.F.</w:t>
      </w:r>
    </w:p>
    <w:p>
      <w:pPr>
        <w:pStyle w:val="Normal"/>
        <w:spacing w:lineRule="atLeast" w:line="240"/>
        <w:jc w:val="both"/>
        <w:rPr>
          <w:color w:val="000000"/>
          <w:sz w:val="24"/>
          <w:lang w:val="es-MX" w:eastAsia="en-US"/>
        </w:rPr>
      </w:pPr>
      <w:r>
        <w:rPr>
          <w:color w:val="000000"/>
          <w:sz w:val="24"/>
          <w:lang w:val="es-MX" w:eastAsia="en-US"/>
        </w:rPr>
      </w:r>
    </w:p>
    <w:p>
      <w:pPr>
        <w:pStyle w:val="Normal"/>
        <w:spacing w:lineRule="atLeast" w:line="240"/>
        <w:jc w:val="both"/>
        <w:rPr>
          <w:color w:val="000000"/>
          <w:sz w:val="24"/>
          <w:lang w:val="es-MX" w:eastAsia="en-US"/>
        </w:rPr>
      </w:pPr>
      <w:r>
        <w:rPr>
          <w:color w:val="000000"/>
          <w:sz w:val="24"/>
          <w:lang w:val="es-MX" w:eastAsia="en-US"/>
        </w:rPr>
        <w:t>Ref.:  Contrato de Fideicomiso de Administración y Garantía No. FG049 del 24 de junio de 1999, modificado el 24 de noviembre de 1999, con Ustedes como Fiduciario (en lo sucesivo el "Contrato de Fideicomiso")</w:t>
      </w:r>
    </w:p>
    <w:p>
      <w:pPr>
        <w:pStyle w:val="Normal"/>
        <w:spacing w:lineRule="atLeast" w:line="240"/>
        <w:jc w:val="both"/>
        <w:rPr>
          <w:color w:val="000000"/>
          <w:sz w:val="24"/>
          <w:lang w:val="es-MX" w:eastAsia="en-US"/>
        </w:rPr>
      </w:pPr>
      <w:r>
        <w:rPr>
          <w:color w:val="000000"/>
          <w:sz w:val="24"/>
          <w:lang w:val="es-MX" w:eastAsia="en-US"/>
        </w:rPr>
      </w:r>
    </w:p>
    <w:p>
      <w:pPr>
        <w:pStyle w:val="Normal"/>
        <w:spacing w:lineRule="atLeast" w:line="240"/>
        <w:jc w:val="both"/>
        <w:rPr>
          <w:color w:val="000000"/>
          <w:sz w:val="24"/>
          <w:lang w:val="es-MX" w:eastAsia="en-US"/>
        </w:rPr>
      </w:pPr>
      <w:r>
        <w:rPr>
          <w:color w:val="000000"/>
          <w:sz w:val="24"/>
          <w:lang w:val="es-MX" w:eastAsia="en-US"/>
        </w:rPr>
        <w:t>Estimados Señores,</w:t>
      </w:r>
    </w:p>
    <w:p>
      <w:pPr>
        <w:pStyle w:val="Normal"/>
        <w:spacing w:lineRule="atLeast" w:line="240"/>
        <w:jc w:val="both"/>
        <w:rPr>
          <w:color w:val="000000"/>
          <w:sz w:val="24"/>
          <w:lang w:val="es-MX" w:eastAsia="en-US"/>
        </w:rPr>
      </w:pPr>
      <w:r>
        <w:rPr>
          <w:color w:val="000000"/>
          <w:sz w:val="24"/>
          <w:lang w:val="es-MX" w:eastAsia="en-US"/>
        </w:rPr>
      </w:r>
    </w:p>
    <w:p>
      <w:pPr>
        <w:pStyle w:val="BodyText"/>
        <w:rPr>
          <w:lang w:val="es-MX"/>
        </w:rPr>
      </w:pPr>
      <w:r>
        <w:rPr>
          <w:lang w:val="es-MX"/>
        </w:rPr>
        <w:t xml:space="preserve">Grupo Tribasa, S.A. de C.V. ("Tribasa") no ha cumplido con sus obligaciones de pago derivadas de la Sección 1. (c) del "Cadereyta Pipeline Settlement Agreement" por falta de pago de la cantidad de US$682,173 que venció el 15 de enero de 2000, y por lo tanto, ha ocurrido un Caso de Incumplimiento conforme a la Seccion 6.01 (bb) del Contrato de Credito del 17 de marzo de 1999 entre Tribasa y la suscrita, tal como fue modificado por el Segundo Modificatorio de fecha 24 de noviembre de 1999 entre Tribasa, la suscrita y Ustedes. En virtud de lo anterior y conforme al inciso (1) de la Cláusula Tercera del Contrato de Fideicomiso, les solicitamos entregar una notificación escrita a Tribasa declarando inmediatamente vencidas y pagaderas todas las cantidades pendientes conforme al Contrato de Crédito. Para este efecto les solicitamos entregar a través de un notario público a Tribasa un escrito con el texto que adjuntamos a la presente.  </w:t>
      </w:r>
    </w:p>
    <w:p>
      <w:pPr>
        <w:pStyle w:val="Normal"/>
        <w:spacing w:lineRule="atLeast" w:line="240"/>
        <w:jc w:val="both"/>
        <w:rPr>
          <w:color w:val="000000"/>
          <w:sz w:val="24"/>
          <w:lang w:val="es-MX" w:eastAsia="en-US"/>
        </w:rPr>
      </w:pPr>
      <w:r>
        <w:rPr>
          <w:color w:val="000000"/>
          <w:sz w:val="24"/>
          <w:lang w:val="es-MX" w:eastAsia="en-US"/>
        </w:rPr>
      </w:r>
    </w:p>
    <w:p>
      <w:pPr>
        <w:pStyle w:val="Normal"/>
        <w:spacing w:lineRule="atLeast" w:line="240"/>
        <w:jc w:val="both"/>
        <w:rPr>
          <w:color w:val="000000"/>
          <w:sz w:val="24"/>
          <w:lang w:val="es-MX" w:eastAsia="en-US"/>
        </w:rPr>
      </w:pPr>
      <w:r>
        <w:rPr>
          <w:color w:val="000000"/>
          <w:sz w:val="24"/>
          <w:lang w:val="es-MX" w:eastAsia="en-US"/>
        </w:rPr>
        <w:t>Agradeciendo la atención que preste a la presente, quedamos de Usted,</w:t>
      </w:r>
    </w:p>
    <w:p>
      <w:pPr>
        <w:pStyle w:val="Normal"/>
        <w:spacing w:lineRule="atLeast" w:line="240"/>
        <w:jc w:val="both"/>
        <w:rPr>
          <w:color w:val="000000"/>
          <w:sz w:val="24"/>
          <w:lang w:val="es-MX" w:eastAsia="en-US"/>
        </w:rPr>
      </w:pPr>
      <w:r>
        <w:rPr>
          <w:color w:val="000000"/>
          <w:sz w:val="24"/>
          <w:lang w:val="es-MX" w:eastAsia="en-US"/>
        </w:rPr>
      </w:r>
    </w:p>
    <w:p>
      <w:pPr>
        <w:pStyle w:val="Normal"/>
        <w:jc w:val="center"/>
        <w:rPr>
          <w:sz w:val="24"/>
          <w:lang w:val="es-MX"/>
        </w:rPr>
      </w:pPr>
      <w:r>
        <w:rPr>
          <w:color w:val="000000"/>
          <w:sz w:val="24"/>
          <w:lang w:val="es-MX" w:eastAsia="en-US"/>
        </w:rPr>
        <w:t>A t e n t a m e n t e ,</w:t>
      </w:r>
    </w:p>
    <w:tbl>
      <w:tblPr>
        <w:tblW w:w="8856" w:type="dxa"/>
        <w:jc w:val="start"/>
        <w:tblInd w:w="0" w:type="dxa"/>
        <w:tblLayout w:type="fixed"/>
        <w:tblCellMar>
          <w:top w:w="0" w:type="dxa"/>
          <w:start w:w="108" w:type="dxa"/>
          <w:bottom w:w="0" w:type="dxa"/>
          <w:end w:w="108" w:type="dxa"/>
        </w:tblCellMar>
      </w:tblPr>
      <w:tblGrid>
        <w:gridCol w:w="8856"/>
      </w:tblGrid>
      <w:tr>
        <w:trPr/>
        <w:tc>
          <w:tcPr>
            <w:tcW w:w="8856" w:type="dxa"/>
            <w:tcBorders/>
          </w:tcPr>
          <w:p>
            <w:pPr>
              <w:pStyle w:val="Normal"/>
              <w:snapToGrid w:val="false"/>
              <w:jc w:val="center"/>
              <w:rPr>
                <w:sz w:val="24"/>
                <w:lang w:val="es-MX"/>
              </w:rPr>
            </w:pPr>
            <w:r>
              <w:rPr>
                <w:sz w:val="24"/>
                <w:lang w:val="es-MX"/>
              </w:rPr>
            </w:r>
          </w:p>
        </w:tc>
      </w:tr>
      <w:tr>
        <w:trPr/>
        <w:tc>
          <w:tcPr>
            <w:tcW w:w="8856" w:type="dxa"/>
            <w:tcBorders/>
          </w:tcPr>
          <w:p>
            <w:pPr>
              <w:pStyle w:val="Normal"/>
              <w:snapToGrid w:val="false"/>
              <w:jc w:val="center"/>
              <w:rPr>
                <w:sz w:val="24"/>
                <w:lang w:val="es-MX"/>
              </w:rPr>
            </w:pPr>
            <w:r>
              <w:rPr>
                <w:sz w:val="24"/>
                <w:lang w:val="es-MX"/>
              </w:rPr>
            </w:r>
          </w:p>
          <w:p>
            <w:pPr>
              <w:pStyle w:val="Normal"/>
              <w:jc w:val="center"/>
              <w:rPr>
                <w:sz w:val="24"/>
                <w:lang w:val="es-MX"/>
              </w:rPr>
            </w:pPr>
            <w:r>
              <w:rPr>
                <w:sz w:val="24"/>
                <w:lang w:val="es-MX"/>
              </w:rPr>
              <w:t>Donald B. Reid</w:t>
            </w:r>
          </w:p>
          <w:p>
            <w:pPr>
              <w:pStyle w:val="Normal"/>
              <w:jc w:val="center"/>
              <w:rPr>
                <w:sz w:val="24"/>
                <w:lang w:val="es-MX"/>
              </w:rPr>
            </w:pPr>
            <w:r>
              <w:rPr>
                <w:sz w:val="24"/>
                <w:lang w:val="es-MX"/>
              </w:rPr>
              <w:t>Attorney-in-Fact</w:t>
            </w:r>
          </w:p>
          <w:p>
            <w:pPr>
              <w:pStyle w:val="Normal"/>
              <w:jc w:val="center"/>
              <w:rPr>
                <w:sz w:val="24"/>
                <w:lang w:val="es-MX"/>
              </w:rPr>
            </w:pPr>
            <w:r>
              <w:rPr>
                <w:sz w:val="24"/>
                <w:lang w:val="es-MX"/>
              </w:rPr>
              <w:t>Enron Power Corp.</w:t>
            </w:r>
          </w:p>
        </w:tc>
      </w:tr>
    </w:tbl>
    <w:p>
      <w:pPr>
        <w:pStyle w:val="Normal"/>
        <w:jc w:val="both"/>
        <w:rPr>
          <w:sz w:val="24"/>
          <w:lang w:val="es-MX"/>
        </w:rPr>
      </w:pPr>
      <w:r>
        <w:rPr>
          <w:sz w:val="24"/>
          <w:lang w:val="es-MX"/>
        </w:rPr>
      </w:r>
    </w:p>
    <w:p>
      <w:pPr>
        <w:pStyle w:val="Normal"/>
        <w:jc w:val="both"/>
        <w:rPr>
          <w:sz w:val="24"/>
          <w:lang w:val="es-MX"/>
        </w:rPr>
      </w:pPr>
      <w:r>
        <w:rPr>
          <w:sz w:val="24"/>
          <w:lang w:val="es-MX"/>
        </w:rPr>
      </w:r>
    </w:p>
    <w:p>
      <w:pPr>
        <w:pStyle w:val="Normal"/>
        <w:jc w:val="both"/>
        <w:rPr>
          <w:sz w:val="24"/>
          <w:lang w:val="es-MX"/>
        </w:rPr>
      </w:pPr>
      <w:r>
        <w:rPr>
          <w:sz w:val="24"/>
          <w:lang w:val="es-MX"/>
        </w:rPr>
      </w:r>
    </w:p>
    <w:p>
      <w:pPr>
        <w:pStyle w:val="Normal"/>
        <w:jc w:val="both"/>
        <w:rPr>
          <w:sz w:val="24"/>
          <w:lang w:val="es-MX"/>
        </w:rPr>
      </w:pPr>
      <w:r>
        <w:rPr>
          <w:sz w:val="24"/>
          <w:lang w:val="es-MX"/>
        </w:rPr>
      </w:r>
    </w:p>
    <w:p>
      <w:pPr>
        <w:pStyle w:val="Normal"/>
        <w:jc w:val="both"/>
        <w:rPr>
          <w:sz w:val="24"/>
          <w:lang w:val="es-MX"/>
        </w:rPr>
      </w:pPr>
      <w:r>
        <w:rPr>
          <w:sz w:val="24"/>
          <w:lang w:val="es-MX"/>
        </w:rPr>
        <w:t>cc:</w:t>
        <w:tab/>
        <w:t>Sr. David Peñaloza Sandoval</w:t>
      </w:r>
    </w:p>
    <w:p>
      <w:pPr>
        <w:pStyle w:val="Normal"/>
        <w:jc w:val="both"/>
        <w:rPr>
          <w:sz w:val="24"/>
          <w:lang w:val="es-MX"/>
        </w:rPr>
      </w:pPr>
      <w:r>
        <w:rPr>
          <w:sz w:val="24"/>
          <w:lang w:val="es-MX"/>
        </w:rPr>
        <w:tab/>
        <w:t>Sra. Adriana Alanís de Peñaloza</w:t>
      </w:r>
    </w:p>
    <w:p>
      <w:pPr>
        <w:pStyle w:val="Normal"/>
        <w:jc w:val="both"/>
        <w:rPr>
          <w:sz w:val="24"/>
          <w:lang w:val="es-MX"/>
        </w:rPr>
      </w:pPr>
      <w:r>
        <w:rPr>
          <w:sz w:val="24"/>
          <w:lang w:val="es-MX"/>
        </w:rPr>
        <w:tab/>
        <w:t>Sr. Manuel Delgado</w:t>
      </w:r>
    </w:p>
    <w:p>
      <w:pPr>
        <w:pStyle w:val="Normal"/>
        <w:jc w:val="both"/>
        <w:rPr>
          <w:sz w:val="24"/>
          <w:lang w:val="es-MX"/>
        </w:rPr>
      </w:pPr>
      <w:r>
        <w:rPr>
          <w:sz w:val="24"/>
          <w:lang w:val="es-MX"/>
        </w:rPr>
        <w:tab/>
        <w:t>Saint Paul Fire and Marine Insurance Company</w:t>
      </w:r>
    </w:p>
    <w:p>
      <w:pPr>
        <w:pStyle w:val="Normal"/>
        <w:jc w:val="both"/>
        <w:rPr>
          <w:sz w:val="24"/>
          <w:lang w:val="es-MX"/>
        </w:rPr>
      </w:pPr>
      <w:r>
        <w:rPr>
          <w:sz w:val="24"/>
          <w:lang w:val="es-MX"/>
        </w:rPr>
        <w:tab/>
        <w:t>Afianzadora Insurgentes S.A. de C.V.</w:t>
      </w:r>
    </w:p>
    <w:p>
      <w:pPr>
        <w:pStyle w:val="Normal"/>
        <w:jc w:val="both"/>
        <w:rPr>
          <w:sz w:val="24"/>
          <w:lang w:val="es-MX"/>
        </w:rPr>
      </w:pPr>
      <w:r>
        <w:rPr>
          <w:sz w:val="24"/>
          <w:lang w:val="es-MX"/>
        </w:rPr>
        <w:tab/>
        <w:t>Construvías Tribasa, S.A. de C.V.</w:t>
      </w:r>
      <w:r>
        <w:br w:type="page"/>
      </w:r>
    </w:p>
    <w:p>
      <w:pPr>
        <w:pStyle w:val="Heading1"/>
        <w:ind w:hanging="0" w:start="0"/>
        <w:rPr>
          <w:lang w:val="es-MX"/>
        </w:rPr>
      </w:pPr>
      <w:r>
        <w:rPr>
          <w:lang w:val="es-MX"/>
        </w:rPr>
        <w:t>Enero __, 2000</w:t>
      </w:r>
    </w:p>
    <w:p>
      <w:pPr>
        <w:pStyle w:val="Normal"/>
        <w:jc w:val="both"/>
        <w:rPr>
          <w:sz w:val="24"/>
          <w:lang w:val="es-MX"/>
        </w:rPr>
      </w:pPr>
      <w:r>
        <w:rPr>
          <w:sz w:val="24"/>
          <w:lang w:val="es-MX"/>
        </w:rPr>
      </w:r>
    </w:p>
    <w:p>
      <w:pPr>
        <w:pStyle w:val="Normal"/>
        <w:jc w:val="both"/>
        <w:rPr>
          <w:sz w:val="24"/>
          <w:lang w:val="es-MX"/>
        </w:rPr>
      </w:pPr>
      <w:r>
        <w:rPr>
          <w:sz w:val="24"/>
          <w:lang w:val="es-MX"/>
        </w:rPr>
      </w:r>
    </w:p>
    <w:p>
      <w:pPr>
        <w:pStyle w:val="Normal"/>
        <w:jc w:val="both"/>
        <w:rPr>
          <w:sz w:val="24"/>
          <w:lang w:val="es-MX"/>
        </w:rPr>
      </w:pPr>
      <w:r>
        <w:rPr>
          <w:sz w:val="24"/>
          <w:lang w:val="es-MX"/>
        </w:rPr>
      </w:r>
    </w:p>
    <w:p>
      <w:pPr>
        <w:pStyle w:val="Normal"/>
        <w:jc w:val="both"/>
        <w:rPr>
          <w:sz w:val="24"/>
          <w:lang w:val="es-MX"/>
        </w:rPr>
      </w:pPr>
      <w:r>
        <w:rPr>
          <w:sz w:val="24"/>
          <w:lang w:val="es-MX"/>
        </w:rPr>
      </w:r>
    </w:p>
    <w:p>
      <w:pPr>
        <w:pStyle w:val="Normal"/>
        <w:jc w:val="both"/>
        <w:rPr>
          <w:sz w:val="24"/>
          <w:lang w:val="es-MX"/>
        </w:rPr>
      </w:pPr>
      <w:r>
        <w:rPr>
          <w:sz w:val="24"/>
          <w:lang w:val="es-MX"/>
        </w:rPr>
      </w:r>
    </w:p>
    <w:p>
      <w:pPr>
        <w:pStyle w:val="Normal"/>
        <w:jc w:val="both"/>
        <w:rPr>
          <w:sz w:val="24"/>
          <w:lang w:val="es-MX"/>
        </w:rPr>
      </w:pPr>
      <w:r>
        <w:rPr>
          <w:sz w:val="24"/>
          <w:lang w:val="es-MX"/>
        </w:rPr>
        <w:t>Grupo Tribasa, S.A. de C.V.</w:t>
      </w:r>
    </w:p>
    <w:p>
      <w:pPr>
        <w:pStyle w:val="Normal"/>
        <w:jc w:val="both"/>
        <w:rPr>
          <w:sz w:val="24"/>
          <w:lang w:val="es-MX"/>
        </w:rPr>
      </w:pPr>
      <w:r>
        <w:rPr>
          <w:sz w:val="24"/>
          <w:lang w:val="es-MX"/>
        </w:rPr>
        <w:t>Bosques de Cidros No. 173 – Piso 7</w:t>
      </w:r>
    </w:p>
    <w:p>
      <w:pPr>
        <w:pStyle w:val="Normal"/>
        <w:jc w:val="both"/>
        <w:rPr>
          <w:sz w:val="24"/>
          <w:lang w:val="es-MX"/>
        </w:rPr>
      </w:pPr>
      <w:r>
        <w:rPr>
          <w:sz w:val="24"/>
          <w:lang w:val="es-MX"/>
        </w:rPr>
        <w:t>Del. Cuajimalpa</w:t>
      </w:r>
    </w:p>
    <w:p>
      <w:pPr>
        <w:pStyle w:val="Normal"/>
        <w:jc w:val="both"/>
        <w:rPr>
          <w:sz w:val="24"/>
          <w:lang w:val="es-MX"/>
        </w:rPr>
      </w:pPr>
      <w:r>
        <w:rPr>
          <w:sz w:val="24"/>
          <w:lang w:val="es-MX"/>
        </w:rPr>
        <w:t>05120 - México, D.F.</w:t>
      </w:r>
    </w:p>
    <w:p>
      <w:pPr>
        <w:pStyle w:val="Normal"/>
        <w:jc w:val="both"/>
        <w:rPr>
          <w:sz w:val="24"/>
          <w:lang w:val="es-MX"/>
        </w:rPr>
      </w:pPr>
      <w:r>
        <w:rPr>
          <w:sz w:val="24"/>
          <w:lang w:val="es-MX"/>
        </w:rPr>
      </w:r>
    </w:p>
    <w:p>
      <w:pPr>
        <w:pStyle w:val="Normal"/>
        <w:jc w:val="both"/>
        <w:rPr>
          <w:sz w:val="24"/>
          <w:lang w:val="es-MX"/>
        </w:rPr>
      </w:pPr>
      <w:r>
        <w:rPr>
          <w:sz w:val="24"/>
          <w:lang w:val="es-MX"/>
        </w:rPr>
      </w:r>
    </w:p>
    <w:p>
      <w:pPr>
        <w:pStyle w:val="Normal"/>
        <w:ind w:firstLine="720" w:end="0"/>
        <w:jc w:val="both"/>
        <w:rPr/>
      </w:pPr>
      <w:r>
        <w:rPr>
          <w:sz w:val="24"/>
          <w:lang w:val="es-MX"/>
        </w:rPr>
        <w:t xml:space="preserve">At’n:  </w:t>
      </w:r>
      <w:r>
        <w:rPr>
          <w:sz w:val="24"/>
          <w:u w:val="single"/>
          <w:lang w:val="es-MX"/>
        </w:rPr>
        <w:t>Lic. Enrique Garza Valdés</w:t>
      </w:r>
    </w:p>
    <w:p>
      <w:pPr>
        <w:pStyle w:val="Normal"/>
        <w:jc w:val="both"/>
        <w:rPr>
          <w:sz w:val="24"/>
          <w:u w:val="single"/>
          <w:lang w:val="es-MX"/>
        </w:rPr>
      </w:pPr>
      <w:r>
        <w:rPr>
          <w:sz w:val="24"/>
          <w:u w:val="single"/>
          <w:lang w:val="es-MX"/>
        </w:rPr>
      </w:r>
    </w:p>
    <w:p>
      <w:pPr>
        <w:pStyle w:val="Normal"/>
        <w:jc w:val="both"/>
        <w:rPr>
          <w:sz w:val="24"/>
          <w:lang w:val="es-MX"/>
        </w:rPr>
      </w:pPr>
      <w:r>
        <w:rPr>
          <w:sz w:val="24"/>
          <w:lang w:val="es-MX"/>
        </w:rPr>
      </w:r>
    </w:p>
    <w:p>
      <w:pPr>
        <w:pStyle w:val="Normal"/>
        <w:jc w:val="both"/>
        <w:rPr>
          <w:sz w:val="24"/>
          <w:lang w:val="es-MX"/>
        </w:rPr>
      </w:pPr>
      <w:r>
        <w:rPr>
          <w:sz w:val="24"/>
          <w:lang w:val="es-MX"/>
        </w:rPr>
        <w:t>Estimados señores:</w:t>
      </w:r>
    </w:p>
    <w:p>
      <w:pPr>
        <w:pStyle w:val="Normal"/>
        <w:jc w:val="both"/>
        <w:rPr>
          <w:sz w:val="24"/>
          <w:lang w:val="es-MX"/>
        </w:rPr>
      </w:pPr>
      <w:r>
        <w:rPr>
          <w:sz w:val="24"/>
          <w:lang w:val="es-MX"/>
        </w:rPr>
      </w:r>
    </w:p>
    <w:p>
      <w:pPr>
        <w:pStyle w:val="Normal"/>
        <w:jc w:val="both"/>
        <w:rPr>
          <w:sz w:val="24"/>
          <w:lang w:val="es-MX"/>
        </w:rPr>
      </w:pPr>
      <w:r>
        <w:rPr>
          <w:sz w:val="24"/>
          <w:lang w:val="es-MX"/>
        </w:rPr>
        <w:tab/>
        <w:t>Hacemos referencia al contrato de Fideicomiso de Administración y Garantía No. FG049 celebrado con fecha 24 de junio de 1999 (el “Contrato de Fideicomiso”) entre Enron Power Corp. (“Enron”), Construvías Tribasa, S.A. de C.V., Afianzadora Insurgentes, S.A. de C.V., tal como fue modificado por el Convenio Modificatorio del  24 de noviembre de 1999.  Términos en mayúscula tienen el significado que se les atribuye en el Contrato de Fideicomiso.</w:t>
      </w:r>
    </w:p>
    <w:p>
      <w:pPr>
        <w:pStyle w:val="Normal"/>
        <w:jc w:val="both"/>
        <w:rPr>
          <w:sz w:val="24"/>
          <w:lang w:val="es-MX"/>
        </w:rPr>
      </w:pPr>
      <w:r>
        <w:rPr>
          <w:sz w:val="24"/>
          <w:lang w:val="es-MX"/>
        </w:rPr>
      </w:r>
    </w:p>
    <w:p>
      <w:pPr>
        <w:pStyle w:val="Textoindependiente2"/>
        <w:rPr/>
      </w:pPr>
      <w:r>
        <w:rPr/>
        <w:tab/>
        <w:t>De conformidad con el inciso (1) de la Cláusula Tercera del Contrato de Fideicomiso, por este medio declaramos vencidas y pagaderas todas las cantidades pendientes conforme al Contrato de Crédito en virtud de que Enron nos ha notificado que ha ocurrido un caso de incumplimiento conforme a la Sección 6.01 (bb) del Contrato de Crédito como consecuencia de que Triturados Basálticos y Derivados, S.A. de C.V. no ha hecho un pago de US$682,173.00 que debió hacer el 15 de enero del 2000 conforme a la sección 1(c) del “Cadereyta Pipeline Settlement Agreement” .</w:t>
      </w:r>
    </w:p>
    <w:p>
      <w:pPr>
        <w:pStyle w:val="Textoindependiente2"/>
        <w:rPr/>
      </w:pPr>
      <w:r>
        <w:rPr/>
      </w:r>
    </w:p>
    <w:p>
      <w:pPr>
        <w:pStyle w:val="Textoindependiente2"/>
        <w:rPr/>
      </w:pPr>
      <w:r>
        <w:rPr/>
      </w:r>
    </w:p>
    <w:p>
      <w:pPr>
        <w:pStyle w:val="Textoindependiente2"/>
        <w:jc w:val="center"/>
        <w:rPr/>
      </w:pPr>
      <w:r>
        <w:rPr/>
        <w:t>A t e n t a m e n t e ,</w:t>
      </w:r>
    </w:p>
    <w:p>
      <w:pPr>
        <w:pStyle w:val="Textoindependiente2"/>
        <w:jc w:val="center"/>
        <w:rPr/>
      </w:pPr>
      <w:r>
        <w:rPr/>
      </w:r>
    </w:p>
    <w:p>
      <w:pPr>
        <w:pStyle w:val="Textoindependiente2"/>
        <w:jc w:val="center"/>
        <w:rPr/>
      </w:pPr>
      <w:r>
        <w:rPr/>
        <w:t>Republic National Bank of New York (México), S.A.</w:t>
      </w:r>
    </w:p>
    <w:p>
      <w:pPr>
        <w:pStyle w:val="Textoindependiente2"/>
        <w:jc w:val="center"/>
        <w:rPr/>
      </w:pPr>
      <w:r>
        <w:rPr/>
        <w:t>Institución de Banca Múltiple</w:t>
      </w:r>
    </w:p>
    <w:p>
      <w:pPr>
        <w:pStyle w:val="Textoindependiente2"/>
        <w:jc w:val="center"/>
        <w:rPr/>
      </w:pPr>
      <w:r>
        <w:rPr/>
        <w:t>División Fiduciaria</w:t>
      </w:r>
    </w:p>
    <w:p>
      <w:pPr>
        <w:pStyle w:val="Textoindependiente2"/>
        <w:jc w:val="center"/>
        <w:rPr/>
      </w:pPr>
      <w:r>
        <w:rPr/>
      </w:r>
    </w:p>
    <w:p>
      <w:pPr>
        <w:pStyle w:val="Textoindependiente2"/>
        <w:jc w:val="center"/>
        <w:rPr/>
      </w:pPr>
      <w:r>
        <w:rPr/>
      </w:r>
    </w:p>
    <w:p>
      <w:pPr>
        <w:pStyle w:val="Textoindependiente2"/>
        <w:jc w:val="center"/>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780" w:type="dxa"/>
      <w:jc w:val="start"/>
      <w:tblInd w:w="0" w:type="dxa"/>
      <w:tblLayout w:type="fixed"/>
      <w:tblCellMar>
        <w:top w:w="0" w:type="dxa"/>
        <w:start w:w="70" w:type="dxa"/>
        <w:bottom w:w="0" w:type="dxa"/>
        <w:end w:w="70" w:type="dxa"/>
      </w:tblCellMar>
    </w:tblPr>
    <w:tblGrid>
      <w:gridCol w:w="4390"/>
      <w:gridCol w:w="4390"/>
    </w:tblGrid>
    <w:tr>
      <w:trPr/>
      <w:tc>
        <w:tcPr>
          <w:tcW w:w="4390" w:type="dxa"/>
          <w:tcBorders/>
        </w:tcPr>
        <w:p>
          <w:pPr>
            <w:pStyle w:val="Footer"/>
            <w:snapToGrid w:val="false"/>
            <w:rPr/>
          </w:pPr>
          <w:r>
            <w:rPr/>
          </w:r>
        </w:p>
      </w:tc>
      <w:tc>
        <w:tcPr>
          <w:tcW w:w="4390" w:type="dxa"/>
          <w:tcBorders/>
        </w:tcPr>
        <w:p>
          <w:pPr>
            <w:pStyle w:val="Footer"/>
            <w:jc w:val="end"/>
            <w:rPr>
              <w:rFonts w:ascii="Courier New" w:hAnsi="Courier New" w:cs="Courier New"/>
              <w:sz w:val="16"/>
            </w:rPr>
          </w:pPr>
          <w:r>
            <w:rPr>
              <w:rFonts w:cs="Courier New" w:ascii="Courier New" w:hAnsi="Courier New"/>
              <w:sz w:val="16"/>
            </w:rPr>
            <w:t>9715v1 25/01/2000</w:t>
          </w:r>
        </w:p>
      </w:tc>
    </w:tr>
  </w:tbl>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sz w:val="24"/>
    </w:rPr>
  </w:style>
  <w:style w:type="character" w:styleId="Fuentedeprrafopredeter">
    <w:name w:val="Fuente de párrafo predeter."/>
    <w:qFormat/>
    <w:rPr/>
  </w:style>
  <w:style w:type="paragraph" w:styleId="Heading">
    <w:name w:val="Heading"/>
    <w:basedOn w:val="Normal"/>
    <w:next w:val="BodyText"/>
    <w:qFormat/>
    <w:pPr>
      <w:jc w:val="center"/>
    </w:pPr>
    <w:rPr>
      <w:sz w:val="24"/>
      <w:lang w:val="es-MX"/>
    </w:rPr>
  </w:style>
  <w:style w:type="paragraph" w:styleId="BodyText">
    <w:name w:val="Body Text"/>
    <w:basedOn w:val="Normal"/>
    <w:pPr>
      <w:spacing w:lineRule="atLeast" w:line="240"/>
      <w:jc w:val="both"/>
    </w:pPr>
    <w:rPr>
      <w:color w:val="000000"/>
      <w:sz w:val="24"/>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252" w:leader="none"/>
        <w:tab w:val="right" w:pos="8504" w:leader="none"/>
      </w:tabs>
    </w:pPr>
    <w:rPr/>
  </w:style>
  <w:style w:type="paragraph" w:styleId="Footer">
    <w:name w:val="footer"/>
    <w:basedOn w:val="Normal"/>
    <w:pPr>
      <w:tabs>
        <w:tab w:val="clear" w:pos="720"/>
        <w:tab w:val="center" w:pos="4252" w:leader="none"/>
        <w:tab w:val="right" w:pos="8504" w:leader="none"/>
      </w:tabs>
    </w:pPr>
    <w:rPr/>
  </w:style>
  <w:style w:type="paragraph" w:styleId="Textoindependiente2">
    <w:name w:val="Texto independiente 2"/>
    <w:basedOn w:val="Normal"/>
    <w:qFormat/>
    <w:pPr>
      <w:jc w:val="both"/>
    </w:pPr>
    <w:rPr>
      <w:sz w:val="24"/>
      <w:lang w:val="es-MX"/>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2000-01-25T14:56:00Z</dcterms:created>
  <dc:creator>houston</dc:creator>
  <dc:description/>
  <dc:language>en-CA</dc:language>
  <cp:lastModifiedBy>Thomas Mueller-Gastell</cp:lastModifiedBy>
  <cp:lastPrinted>2000-01-24T18:51:00Z</cp:lastPrinted>
  <dcterms:modified xsi:type="dcterms:W3CDTF">2000-01-25T16:00:00Z</dcterms:modified>
  <cp:revision>13</cp:revision>
  <dc:subject/>
  <dc:title>Republic National Bank of New York (Mexico) S</dc:title>
</cp:coreProperties>
</file>