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pPr>
      <w:r>
        <w:rPr/>
        <w:t>Summary of Contract Terms</w:t>
      </w:r>
    </w:p>
    <w:p>
      <w:pPr>
        <w:pStyle w:val="Normal"/>
        <w:jc w:val="center"/>
        <w:rPr/>
      </w:pPr>
      <w:r>
        <w:rPr/>
        <w:t>1 General Electric Frame 7EA Combustion Gas Turbine</w:t>
      </w:r>
    </w:p>
    <w:p>
      <w:pPr>
        <w:pStyle w:val="Normal"/>
        <w:jc w:val="center"/>
        <w:rPr/>
      </w:pPr>
      <w:r>
        <w:rPr/>
      </w:r>
    </w:p>
    <w:p>
      <w:pPr>
        <w:pStyle w:val="Normal"/>
        <w:jc w:val="center"/>
        <w:rPr/>
      </w:pPr>
      <w:r>
        <w:rPr/>
      </w:r>
    </w:p>
    <w:p>
      <w:pPr>
        <w:pStyle w:val="Normal"/>
        <w:rPr/>
      </w:pPr>
      <w:r>
        <w:rPr/>
      </w:r>
    </w:p>
    <w:p>
      <w:pPr>
        <w:pStyle w:val="BodyTextIndent"/>
        <w:rPr/>
      </w:pPr>
      <w:r>
        <w:rPr/>
        <w:t>Delivery Point:</w:t>
        <w:tab/>
        <w:t>Shall mean either (i) in the case of the turbine the Seller’s manufacturing facility in Greenville, South Carolina; (ii) in the case of material ship direct items, Vendor’s manufacturing facilities; or (iii) in the case of the generator, Purchaser designated U.S. Port of Import, as applicable.</w:t>
      </w:r>
    </w:p>
    <w:p>
      <w:pPr>
        <w:pStyle w:val="Normal"/>
        <w:ind w:hanging="2880" w:start="2880" w:end="0"/>
        <w:rPr/>
      </w:pPr>
      <w:r>
        <w:rPr/>
      </w:r>
    </w:p>
    <w:p>
      <w:pPr>
        <w:pStyle w:val="Normal"/>
        <w:ind w:hanging="2880" w:start="2880" w:end="0"/>
        <w:rPr/>
      </w:pPr>
      <w:r>
        <w:rPr/>
        <w:t>Optional Delivery Point:</w:t>
        <w:tab/>
        <w:t>In the event Purchaser elects by Change Order to have a Unit delivered to a Site.</w:t>
      </w:r>
    </w:p>
    <w:p>
      <w:pPr>
        <w:pStyle w:val="Normal"/>
        <w:rPr/>
      </w:pPr>
      <w:r>
        <w:rPr/>
      </w:r>
    </w:p>
    <w:p>
      <w:pPr>
        <w:pStyle w:val="Normal"/>
        <w:tabs>
          <w:tab w:val="clear" w:pos="720"/>
          <w:tab w:val="left" w:pos="-1440" w:leader="none"/>
        </w:tabs>
        <w:ind w:hanging="2880" w:start="2880" w:end="0"/>
        <w:jc w:val="both"/>
        <w:rPr/>
      </w:pPr>
      <w:r>
        <w:rPr/>
        <w:t>Delivery Date(s):</w:t>
        <w:tab/>
        <w:t>Gas Turbine and Generator</w:t>
        <w:tab/>
        <w:t>March 11, 2001</w:t>
      </w:r>
    </w:p>
    <w:p>
      <w:pPr>
        <w:pStyle w:val="Normal"/>
        <w:tabs>
          <w:tab w:val="clear" w:pos="720"/>
          <w:tab w:val="left" w:pos="-1440" w:leader="none"/>
        </w:tabs>
        <w:jc w:val="both"/>
        <w:rPr/>
      </w:pPr>
      <w:r>
        <w:rPr/>
        <w:tab/>
        <w:tab/>
        <w:tab/>
        <w:tab/>
        <w:t>Remaining Major Components</w:t>
        <w:tab/>
        <w:t>March 31, 2001</w:t>
      </w:r>
    </w:p>
    <w:p>
      <w:pPr>
        <w:pStyle w:val="Normal"/>
        <w:rPr/>
      </w:pPr>
      <w:r>
        <w:rPr/>
      </w:r>
    </w:p>
    <w:p>
      <w:pPr>
        <w:pStyle w:val="BodyTextIndent"/>
        <w:rPr>
          <w:b/>
        </w:rPr>
      </w:pPr>
      <w:r>
        <w:rPr/>
        <w:t>Payment terms:</w:t>
        <w:tab/>
        <w:t>ENA shall assume the obligations of all remaining payments related to the turbine purchase price (including change orders), except those obligations arising after the closing date of the proposed transaction.</w:t>
      </w:r>
    </w:p>
    <w:p>
      <w:pPr>
        <w:pStyle w:val="Normal"/>
        <w:rPr>
          <w:b/>
        </w:rPr>
      </w:pPr>
      <w:r>
        <w:rPr>
          <w:b/>
        </w:rPr>
      </w:r>
    </w:p>
    <w:p>
      <w:pPr>
        <w:pStyle w:val="BodyText2"/>
        <w:rPr/>
      </w:pPr>
      <w:r>
        <w:rPr/>
        <w:t>Retention Letter of Credit:</w:t>
        <w:tab/>
        <w:t>In the amount of $965,855, to be held by purchaser until final acceptance of the unit.  GE may replace with letter of credit in like amount.</w:t>
      </w:r>
    </w:p>
    <w:p>
      <w:pPr>
        <w:pStyle w:val="Normal"/>
        <w:ind w:hanging="2880" w:start="2880" w:end="0"/>
        <w:rPr/>
      </w:pPr>
      <w:r>
        <w:rPr/>
      </w:r>
    </w:p>
    <w:p>
      <w:pPr>
        <w:pStyle w:val="Normal"/>
        <w:ind w:hanging="2880" w:start="2880" w:end="0"/>
        <w:rPr/>
      </w:pPr>
      <w:r>
        <w:rPr/>
        <w:t>Correction of Equipment:</w:t>
        <w:tab/>
        <w:t>GE is responsible for replacing or correcting any defective work or conditions prior to acceptance of the Unit.  GE must also correct punchlist items to Purchaser’s satisfaction not later than the Primary Warranty Period, or Purchaser may draw on Retention Letter of credit.</w:t>
      </w:r>
    </w:p>
    <w:p>
      <w:pPr>
        <w:pStyle w:val="Normal"/>
        <w:ind w:hanging="2880" w:start="2880" w:end="0"/>
        <w:rPr/>
      </w:pPr>
      <w:r>
        <w:rPr/>
      </w:r>
    </w:p>
    <w:p>
      <w:pPr>
        <w:pStyle w:val="Normal"/>
        <w:rPr/>
      </w:pPr>
      <w:r>
        <w:rPr/>
        <w:t xml:space="preserve">Document Liquidated </w:t>
      </w:r>
    </w:p>
    <w:p>
      <w:pPr>
        <w:pStyle w:val="Normal"/>
        <w:ind w:hanging="2880" w:start="2880" w:end="0"/>
        <w:rPr/>
      </w:pPr>
      <w:r>
        <w:rPr/>
        <w:t>Damages</w:t>
        <w:tab/>
        <w:t>1-30 days late</w:t>
        <w:tab/>
        <w:t>$500.00/day</w:t>
      </w:r>
    </w:p>
    <w:p>
      <w:pPr>
        <w:pStyle w:val="Normal"/>
        <w:ind w:hanging="2880" w:start="2880" w:end="0"/>
        <w:rPr/>
      </w:pPr>
      <w:r>
        <w:rPr/>
        <w:tab/>
        <w:t>31-90 days late</w:t>
        <w:tab/>
        <w:t>$1,000.00/day</w:t>
      </w:r>
    </w:p>
    <w:p>
      <w:pPr>
        <w:pStyle w:val="Normal"/>
        <w:ind w:hanging="2880" w:start="2880" w:end="0"/>
        <w:rPr/>
      </w:pPr>
      <w:r>
        <w:rPr/>
        <w:tab/>
        <w:t>91+ days late</w:t>
        <w:tab/>
        <w:t>$5,000.00/day</w:t>
      </w:r>
    </w:p>
    <w:p>
      <w:pPr>
        <w:pStyle w:val="Normal"/>
        <w:ind w:hanging="2880" w:start="2880" w:end="0"/>
        <w:rPr/>
      </w:pPr>
      <w:r>
        <w:rPr/>
      </w:r>
    </w:p>
    <w:p>
      <w:pPr>
        <w:pStyle w:val="Normal"/>
        <w:ind w:hanging="2880" w:start="2880" w:end="0"/>
        <w:rPr/>
      </w:pPr>
      <w:r>
        <w:rPr/>
        <w:t>Delivery of Final</w:t>
      </w:r>
    </w:p>
    <w:p>
      <w:pPr>
        <w:pStyle w:val="Normal"/>
        <w:ind w:hanging="2880" w:start="2880" w:end="0"/>
        <w:rPr/>
      </w:pPr>
      <w:r>
        <w:rPr/>
        <w:t xml:space="preserve">O&amp;M Instructions </w:t>
      </w:r>
    </w:p>
    <w:p>
      <w:pPr>
        <w:pStyle w:val="Normal"/>
        <w:ind w:hanging="2880" w:start="2880" w:end="0"/>
        <w:rPr/>
      </w:pPr>
      <w:r>
        <w:rPr/>
        <w:t>Liquidated Damages</w:t>
        <w:tab/>
        <w:t>1-30 days late</w:t>
        <w:tab/>
        <w:t>$500.00/day</w:t>
      </w:r>
    </w:p>
    <w:p>
      <w:pPr>
        <w:pStyle w:val="Normal"/>
        <w:ind w:hanging="2880" w:start="2880" w:end="0"/>
        <w:rPr/>
      </w:pPr>
      <w:r>
        <w:rPr/>
        <w:tab/>
        <w:t>31-90 days late</w:t>
        <w:tab/>
        <w:t>$1,000.00/day</w:t>
      </w:r>
    </w:p>
    <w:p>
      <w:pPr>
        <w:pStyle w:val="Normal"/>
        <w:ind w:hanging="2880" w:start="2880" w:end="0"/>
        <w:rPr/>
      </w:pPr>
      <w:r>
        <w:rPr/>
        <w:tab/>
        <w:t>91+ days late</w:t>
        <w:tab/>
        <w:t>$5,000.00/day</w:t>
      </w:r>
    </w:p>
    <w:p>
      <w:pPr>
        <w:pStyle w:val="Normal"/>
        <w:ind w:start="2880" w:end="0"/>
        <w:rPr/>
      </w:pPr>
      <w:r>
        <w:rPr/>
        <w:t>if not delivered within 90 days after site delivery date of the Unit.</w:t>
      </w:r>
    </w:p>
    <w:p>
      <w:pPr>
        <w:pStyle w:val="Normal"/>
        <w:ind w:hanging="2880" w:start="2880" w:end="0"/>
        <w:rPr/>
      </w:pPr>
      <w:r>
        <w:rPr/>
      </w:r>
    </w:p>
    <w:p>
      <w:pPr>
        <w:pStyle w:val="Normal"/>
        <w:ind w:hanging="2880" w:start="2880" w:end="0"/>
        <w:rPr/>
      </w:pPr>
      <w:r>
        <w:rPr/>
        <w:t>Delivery Liquidated Damages</w:t>
        <w:tab/>
        <w:t>day 1+</w:t>
        <w:tab/>
        <w:tab/>
        <w:t>$14,500.00/day</w:t>
      </w:r>
    </w:p>
    <w:p>
      <w:pPr>
        <w:pStyle w:val="Normal"/>
        <w:ind w:hanging="2880" w:start="2880" w:end="0"/>
        <w:rPr/>
      </w:pPr>
      <w:r>
        <w:rPr/>
        <w:tab/>
      </w:r>
    </w:p>
    <w:p>
      <w:pPr>
        <w:pStyle w:val="Normal"/>
        <w:ind w:hanging="2880" w:start="2880" w:end="0"/>
        <w:rPr/>
      </w:pPr>
      <w:r>
        <w:rPr/>
      </w:r>
    </w:p>
    <w:p>
      <w:pPr>
        <w:pStyle w:val="Normal"/>
        <w:ind w:hanging="2880" w:start="2880" w:end="0"/>
        <w:rPr/>
      </w:pPr>
      <w:r>
        <w:rPr/>
        <w:t>Takeover Liquidated Damages</w:t>
        <w:tab/>
        <w:t xml:space="preserve">day 1+ </w:t>
        <w:tab/>
        <w:tab/>
        <w:t xml:space="preserve">$14,500 per day </w:t>
      </w:r>
    </w:p>
    <w:p>
      <w:pPr>
        <w:pStyle w:val="Normal"/>
        <w:ind w:hanging="2880" w:start="2880" w:end="0"/>
        <w:rPr/>
      </w:pPr>
      <w:r>
        <w:rPr/>
      </w:r>
    </w:p>
    <w:p>
      <w:pPr>
        <w:pStyle w:val="Normal"/>
        <w:ind w:hanging="2880" w:start="2880" w:end="0"/>
        <w:rPr/>
      </w:pPr>
      <w:r>
        <w:rPr/>
      </w:r>
    </w:p>
    <w:p>
      <w:pPr>
        <w:pStyle w:val="Normal"/>
        <w:keepNext w:val="true"/>
        <w:ind w:hanging="2880" w:start="2880" w:end="0"/>
        <w:rPr/>
      </w:pPr>
      <w:r>
        <w:rPr/>
      </w:r>
    </w:p>
    <w:p>
      <w:pPr>
        <w:pStyle w:val="Normal"/>
        <w:keepNext w:val="true"/>
        <w:ind w:hanging="2880" w:start="2880" w:end="0"/>
        <w:rPr/>
      </w:pPr>
      <w:r>
        <w:rPr/>
        <w:t>Specific Performance</w:t>
      </w:r>
    </w:p>
    <w:p>
      <w:pPr>
        <w:pStyle w:val="Normal"/>
        <w:keepNext w:val="true"/>
        <w:ind w:hanging="2880" w:start="2880" w:end="0"/>
        <w:rPr/>
      </w:pPr>
      <w:r>
        <w:rPr/>
        <w:t>Near Source Sound Level</w:t>
      </w:r>
    </w:p>
    <w:p>
      <w:pPr>
        <w:pStyle w:val="Normal"/>
        <w:keepNext w:val="true"/>
        <w:ind w:hanging="2880" w:start="2880" w:end="0"/>
        <w:rPr/>
      </w:pPr>
      <w:r>
        <w:rPr/>
        <w:t>Guarantee</w:t>
        <w:tab/>
        <w:t xml:space="preserve">Near field average A-weighted sound pressure levels for each Unit </w:t>
      </w:r>
      <w:r>
        <w:rPr>
          <w:u w:val="single"/>
        </w:rPr>
        <w:t>&lt;</w:t>
      </w:r>
      <w:r>
        <w:rPr/>
        <w:t xml:space="preserve"> 85dB(A) (referenced to 20 micropascals) when measured at 1.5 meters above any working elevation and 1 meter from the surface.</w:t>
      </w:r>
    </w:p>
    <w:p>
      <w:pPr>
        <w:pStyle w:val="Normal"/>
        <w:ind w:hanging="2880" w:start="2880" w:end="0"/>
        <w:rPr/>
      </w:pPr>
      <w:r>
        <w:rPr/>
      </w:r>
    </w:p>
    <w:p>
      <w:pPr>
        <w:pStyle w:val="Normal"/>
        <w:rPr/>
      </w:pPr>
      <w:r>
        <w:rPr/>
        <w:t xml:space="preserve">Specific Performance </w:t>
      </w:r>
    </w:p>
    <w:p>
      <w:pPr>
        <w:pStyle w:val="Normal"/>
        <w:spacing w:lineRule="auto" w:line="300"/>
        <w:jc w:val="both"/>
        <w:rPr/>
      </w:pPr>
      <w:r>
        <w:rPr/>
        <w:t>Exhaust Emissions Guarantee</w:t>
        <w:tab/>
      </w:r>
      <w:r>
        <w:rPr>
          <w:u w:val="single"/>
        </w:rPr>
        <w:t>Category</w:t>
      </w:r>
      <w:r>
        <w:rPr/>
        <w:tab/>
        <w:tab/>
      </w:r>
      <w:r>
        <w:rPr>
          <w:u w:val="single"/>
        </w:rPr>
        <w:t>Load</w:t>
      </w:r>
      <w:r>
        <w:rPr/>
        <w:tab/>
        <w:tab/>
      </w:r>
      <w:r>
        <w:rPr>
          <w:u w:val="single"/>
        </w:rPr>
        <w:t>Units of Measure</w:t>
      </w:r>
    </w:p>
    <w:p>
      <w:pPr>
        <w:pStyle w:val="Normal"/>
        <w:spacing w:lineRule="auto" w:line="300"/>
        <w:ind w:firstLine="2160" w:start="2880" w:end="0"/>
        <w:jc w:val="both"/>
        <w:rPr/>
      </w:pPr>
      <w:r>
        <w:rPr/>
        <w:t>100%</w:t>
        <w:tab/>
      </w:r>
    </w:p>
    <w:p>
      <w:pPr>
        <w:pStyle w:val="Normal"/>
        <w:spacing w:lineRule="auto" w:line="300"/>
        <w:jc w:val="both"/>
        <w:rPr/>
      </w:pPr>
      <w:r>
        <w:rPr/>
      </w:r>
    </w:p>
    <w:p>
      <w:pPr>
        <w:pStyle w:val="Normal"/>
        <w:spacing w:lineRule="auto" w:line="300"/>
        <w:ind w:firstLine="720" w:start="2160" w:end="0"/>
        <w:jc w:val="both"/>
        <w:rPr/>
      </w:pPr>
      <w:r>
        <w:rPr/>
        <w:t>NOx</w:t>
        <w:tab/>
        <w:tab/>
        <w:tab/>
        <w:t>9</w:t>
        <w:tab/>
        <w:tab/>
        <w:t>ppmvd @ 15% O</w:t>
      </w:r>
      <w:r>
        <w:rPr>
          <w:vertAlign w:val="subscript"/>
        </w:rPr>
        <w:t>2</w:t>
      </w:r>
    </w:p>
    <w:p>
      <w:pPr>
        <w:pStyle w:val="Normal"/>
        <w:spacing w:lineRule="auto" w:line="300"/>
        <w:ind w:firstLine="720" w:start="2160" w:end="0"/>
        <w:jc w:val="both"/>
        <w:rPr/>
      </w:pPr>
      <w:r>
        <w:rPr/>
        <w:t>CO</w:t>
        <w:tab/>
        <w:tab/>
        <w:tab/>
        <w:t>25</w:t>
        <w:tab/>
        <w:tab/>
        <w:t>ppmvd</w:t>
      </w:r>
    </w:p>
    <w:p>
      <w:pPr>
        <w:pStyle w:val="Normal"/>
        <w:spacing w:lineRule="auto" w:line="300"/>
        <w:ind w:firstLine="720" w:start="2160" w:end="0"/>
        <w:jc w:val="both"/>
        <w:rPr/>
      </w:pPr>
      <w:r>
        <w:rPr/>
        <w:t>Particulates (TSP)</w:t>
        <w:tab/>
        <w:t>5</w:t>
        <w:tab/>
        <w:tab/>
        <w:t>lb/hr</w:t>
      </w:r>
    </w:p>
    <w:p>
      <w:pPr>
        <w:pStyle w:val="Normal"/>
        <w:tabs>
          <w:tab w:val="clear" w:pos="720"/>
          <w:tab w:val="left" w:pos="-1440" w:leader="none"/>
        </w:tabs>
        <w:spacing w:lineRule="auto" w:line="300"/>
        <w:jc w:val="both"/>
        <w:rPr/>
      </w:pPr>
      <w:r>
        <w:rPr/>
        <w:tab/>
        <w:tab/>
        <w:tab/>
        <w:tab/>
        <w:t>PM</w:t>
      </w:r>
      <w:r>
        <w:rPr>
          <w:vertAlign w:val="subscript"/>
        </w:rPr>
        <w:t>10</w:t>
      </w:r>
      <w:r>
        <w:rPr/>
        <w:tab/>
        <w:tab/>
        <w:tab/>
        <w:t>n/a</w:t>
        <w:tab/>
        <w:tab/>
        <w:t>lb/hr</w:t>
      </w:r>
    </w:p>
    <w:p>
      <w:pPr>
        <w:pStyle w:val="Normal"/>
        <w:spacing w:lineRule="auto" w:line="300"/>
        <w:ind w:firstLine="720" w:start="2160" w:end="0"/>
        <w:jc w:val="both"/>
        <w:rPr/>
      </w:pPr>
      <w:r>
        <w:rPr/>
        <w:t>UHC</w:t>
        <w:tab/>
        <w:tab/>
        <w:tab/>
        <w:t>7</w:t>
        <w:tab/>
        <w:tab/>
        <w:t>ppmvw</w:t>
      </w:r>
    </w:p>
    <w:p>
      <w:pPr>
        <w:pStyle w:val="Normal"/>
        <w:tabs>
          <w:tab w:val="clear" w:pos="720"/>
          <w:tab w:val="left" w:pos="-1440" w:leader="none"/>
        </w:tabs>
        <w:spacing w:lineRule="auto" w:line="300"/>
        <w:jc w:val="both"/>
        <w:rPr/>
      </w:pPr>
      <w:r>
        <w:rPr/>
        <w:tab/>
        <w:tab/>
        <w:tab/>
        <w:tab/>
        <w:t>VOC</w:t>
        <w:tab/>
        <w:tab/>
        <w:tab/>
        <w:t>n/a</w:t>
        <w:tab/>
        <w:tab/>
        <w:t>ppmvw</w:t>
      </w:r>
    </w:p>
    <w:p>
      <w:pPr>
        <w:pStyle w:val="Normal"/>
        <w:rPr/>
      </w:pPr>
      <w:r>
        <w:rPr/>
      </w:r>
    </w:p>
    <w:p>
      <w:pPr>
        <w:pStyle w:val="Normal"/>
        <w:ind w:start="2880" w:end="0"/>
        <w:rPr/>
      </w:pPr>
      <w:r>
        <w:rPr/>
      </w:r>
    </w:p>
    <w:p>
      <w:pPr>
        <w:pStyle w:val="Normal"/>
        <w:ind w:hanging="2880" w:start="2880" w:end="0"/>
        <w:rPr/>
      </w:pPr>
      <w:r>
        <w:rPr/>
        <w:t>Electrical Output Guarantee</w:t>
        <w:tab/>
        <w:t xml:space="preserve">Adjusted Electrical Output </w:t>
      </w:r>
      <w:r>
        <w:rPr>
          <w:u w:val="single"/>
        </w:rPr>
        <w:t>&gt;</w:t>
      </w:r>
      <w:r>
        <w:rPr/>
        <w:t xml:space="preserve"> 77,800 kW (net of Unit auxiliary loads).</w:t>
      </w:r>
    </w:p>
    <w:p>
      <w:pPr>
        <w:pStyle w:val="Normal"/>
        <w:rPr/>
      </w:pPr>
      <w:r>
        <w:rPr/>
      </w:r>
    </w:p>
    <w:p>
      <w:pPr>
        <w:pStyle w:val="Normal"/>
        <w:rPr/>
      </w:pPr>
      <w:r>
        <w:rPr/>
        <w:t>Specific Performance Electrical</w:t>
      </w:r>
    </w:p>
    <w:p>
      <w:pPr>
        <w:pStyle w:val="Normal"/>
        <w:ind w:hanging="2880" w:start="2880" w:end="0"/>
        <w:rPr/>
      </w:pPr>
      <w:r>
        <w:rPr/>
        <w:t>Output Guarantee</w:t>
        <w:tab/>
        <w:t xml:space="preserve">Adjusted Electrical Output </w:t>
      </w:r>
      <w:r>
        <w:rPr>
          <w:u w:val="single"/>
        </w:rPr>
        <w:t>&gt;</w:t>
      </w:r>
      <w:r>
        <w:rPr/>
        <w:t xml:space="preserve"> 75,466 kW (net of Unit auxiliary loads)</w:t>
      </w:r>
    </w:p>
    <w:p>
      <w:pPr>
        <w:pStyle w:val="Normal"/>
        <w:ind w:hanging="2880" w:start="2880" w:end="0"/>
        <w:rPr/>
      </w:pPr>
      <w:r>
        <w:rPr/>
      </w:r>
    </w:p>
    <w:p>
      <w:pPr>
        <w:pStyle w:val="Normal"/>
        <w:ind w:hanging="2880" w:start="2880" w:end="0"/>
        <w:rPr/>
      </w:pPr>
      <w:r>
        <w:rPr/>
        <w:t>Heat Rate Guarantee</w:t>
        <w:tab/>
        <w:t>Adjusted Heat Rate not to exceed 10,720 BTU/kWh (LHV).</w:t>
      </w:r>
    </w:p>
    <w:p>
      <w:pPr>
        <w:pStyle w:val="Normal"/>
        <w:ind w:hanging="2880" w:start="2880" w:end="0"/>
        <w:rPr/>
      </w:pPr>
      <w:r>
        <w:rPr/>
      </w:r>
    </w:p>
    <w:p>
      <w:pPr>
        <w:pStyle w:val="Normal"/>
        <w:ind w:hanging="2880" w:start="2880" w:end="0"/>
        <w:rPr/>
      </w:pPr>
      <w:r>
        <w:rPr/>
        <w:t>Specific Performance Heat</w:t>
      </w:r>
    </w:p>
    <w:p>
      <w:pPr>
        <w:pStyle w:val="Normal"/>
        <w:ind w:hanging="2880" w:start="2880" w:end="0"/>
        <w:rPr/>
      </w:pPr>
      <w:r>
        <w:rPr/>
        <w:t>Rate Guarantee</w:t>
        <w:tab/>
        <w:t>Adjusted Heat Rate not to exceed 11,042 BTU/kWh (LHV).</w:t>
      </w:r>
    </w:p>
    <w:p>
      <w:pPr>
        <w:pStyle w:val="Normal"/>
        <w:ind w:hanging="2880" w:start="2880" w:end="0"/>
        <w:rPr/>
      </w:pPr>
      <w:r>
        <w:rPr/>
      </w:r>
    </w:p>
    <w:p>
      <w:pPr>
        <w:pStyle w:val="Normal"/>
        <w:ind w:hanging="2880" w:start="2880" w:end="0"/>
        <w:rPr/>
      </w:pPr>
      <w:r>
        <w:rPr/>
        <w:t>Output Liquidated Damages</w:t>
        <w:tab/>
        <w:t>If the Unit achieves the Specific Performance Electrical Output Guarantee during Performance Test, but fails to achieve the Electrical Output Guarantee, that amount which is equal to the positive difference between the Electrical Output Guarantee and the Adjusted Electrical Output of the Unit multiplied by $708/kW.</w:t>
      </w:r>
    </w:p>
    <w:p>
      <w:pPr>
        <w:pStyle w:val="Normal"/>
        <w:ind w:hanging="2880" w:start="2880" w:end="0"/>
        <w:rPr/>
      </w:pPr>
      <w:r>
        <w:rPr/>
      </w:r>
    </w:p>
    <w:p>
      <w:pPr>
        <w:pStyle w:val="Normal"/>
        <w:ind w:hanging="2880" w:start="2880" w:end="0"/>
        <w:rPr/>
      </w:pPr>
      <w:r>
        <w:rPr/>
        <w:t>Heat Rate Liquidated Damages</w:t>
        <w:tab/>
        <w:t>That amount which is equal to the positive difference between the Adjusted Heat Rate of the Unit and the Heat Rate Guarantee multiplied by $14,650 per BTU/kWh (LHV).</w:t>
      </w:r>
    </w:p>
    <w:p>
      <w:pPr>
        <w:pStyle w:val="Normal"/>
        <w:ind w:hanging="2880" w:start="2880" w:end="0"/>
        <w:rPr/>
      </w:pPr>
      <w:r>
        <w:rPr/>
      </w:r>
    </w:p>
    <w:p>
      <w:pPr>
        <w:pStyle w:val="Normal"/>
        <w:keepNext w:val="true"/>
        <w:ind w:hanging="2880" w:start="2880" w:end="0"/>
        <w:rPr/>
      </w:pPr>
      <w:r>
        <w:rPr/>
        <w:t>Maximum Document</w:t>
      </w:r>
    </w:p>
    <w:p>
      <w:pPr>
        <w:pStyle w:val="Normal"/>
        <w:keepNext w:val="true"/>
        <w:ind w:hanging="2880" w:start="2880" w:end="0"/>
        <w:rPr/>
      </w:pPr>
      <w:r>
        <w:rPr/>
        <w:t>Liquidated Damages</w:t>
        <w:tab/>
        <w:t>$100,000 per Unit</w:t>
      </w:r>
    </w:p>
    <w:p>
      <w:pPr>
        <w:pStyle w:val="Normal"/>
        <w:ind w:hanging="2880" w:start="2880" w:end="0"/>
        <w:rPr/>
      </w:pPr>
      <w:r>
        <w:rPr/>
      </w:r>
    </w:p>
    <w:p>
      <w:pPr>
        <w:pStyle w:val="Normal"/>
        <w:ind w:hanging="2880" w:start="2880" w:end="0"/>
        <w:rPr/>
      </w:pPr>
      <w:r>
        <w:rPr/>
        <w:t>Max. Delivery Liquidated</w:t>
      </w:r>
    </w:p>
    <w:p>
      <w:pPr>
        <w:pStyle w:val="Normal"/>
        <w:ind w:hanging="2880" w:start="2880" w:end="0"/>
        <w:rPr/>
      </w:pPr>
      <w:r>
        <w:rPr/>
        <w:t>Damages</w:t>
        <w:tab/>
        <w:t xml:space="preserve"> $1,931,710 per Unit</w:t>
      </w:r>
    </w:p>
    <w:p>
      <w:pPr>
        <w:pStyle w:val="Normal"/>
        <w:ind w:hanging="2880" w:start="2880" w:end="0"/>
        <w:rPr/>
      </w:pPr>
      <w:r>
        <w:rPr/>
      </w:r>
    </w:p>
    <w:p>
      <w:pPr>
        <w:pStyle w:val="Normal"/>
        <w:ind w:hanging="2880" w:start="2880" w:end="0"/>
        <w:rPr/>
      </w:pPr>
      <w:r>
        <w:rPr/>
        <w:t>Max. Takeover Liquidated</w:t>
      </w:r>
    </w:p>
    <w:p>
      <w:pPr>
        <w:pStyle w:val="Normal"/>
        <w:ind w:hanging="2880" w:start="2880" w:end="0"/>
        <w:rPr/>
      </w:pPr>
      <w:r>
        <w:rPr/>
        <w:t>Damages</w:t>
        <w:tab/>
        <w:t>$1,931,710 per Unit</w:t>
      </w:r>
    </w:p>
    <w:p>
      <w:pPr>
        <w:pStyle w:val="Normal"/>
        <w:ind w:hanging="2880" w:start="2880" w:end="0"/>
        <w:rPr/>
      </w:pPr>
      <w:r>
        <w:rPr/>
      </w:r>
    </w:p>
    <w:p>
      <w:pPr>
        <w:pStyle w:val="Normal"/>
        <w:ind w:hanging="2880" w:start="2880" w:end="0"/>
        <w:rPr/>
      </w:pPr>
      <w:r>
        <w:rPr/>
        <w:t xml:space="preserve">Max. Output Liquidated </w:t>
      </w:r>
    </w:p>
    <w:p>
      <w:pPr>
        <w:pStyle w:val="Normal"/>
        <w:ind w:hanging="2880" w:start="2880" w:end="0"/>
        <w:rPr/>
      </w:pPr>
      <w:r>
        <w:rPr/>
        <w:t>Damages</w:t>
        <w:tab/>
        <w:t>$1,931,710 per Unit</w:t>
      </w:r>
      <w:r>
        <w:br w:type="page"/>
      </w:r>
    </w:p>
    <w:p>
      <w:pPr>
        <w:pStyle w:val="Normal"/>
        <w:ind w:hanging="2880" w:start="2880" w:end="0"/>
        <w:rPr/>
      </w:pPr>
      <w:r>
        <w:rPr/>
      </w:r>
    </w:p>
    <w:p>
      <w:pPr>
        <w:pStyle w:val="Normal"/>
        <w:ind w:hanging="2880" w:start="2880" w:end="0"/>
        <w:rPr/>
      </w:pPr>
      <w:r>
        <w:rPr/>
        <w:t>Max. Heat Rate Liquidated</w:t>
      </w:r>
    </w:p>
    <w:p>
      <w:pPr>
        <w:pStyle w:val="Normal"/>
        <w:ind w:hanging="2880" w:start="2880" w:end="0"/>
        <w:rPr/>
      </w:pPr>
      <w:r>
        <w:rPr/>
        <w:t>Damages</w:t>
        <w:tab/>
        <w:t>$2,897,565 per Unit</w:t>
      </w:r>
    </w:p>
    <w:p>
      <w:pPr>
        <w:pStyle w:val="Normal"/>
        <w:ind w:hanging="2880" w:start="2880" w:end="0"/>
        <w:rPr/>
      </w:pPr>
      <w:r>
        <w:rPr/>
      </w:r>
    </w:p>
    <w:p>
      <w:pPr>
        <w:pStyle w:val="Normal"/>
        <w:ind w:hanging="2880" w:start="2880" w:end="0"/>
        <w:rPr/>
      </w:pPr>
      <w:r>
        <w:rPr/>
        <w:t>Max. Aggregate Liquidated</w:t>
      </w:r>
    </w:p>
    <w:p>
      <w:pPr>
        <w:pStyle w:val="Normal"/>
        <w:ind w:hanging="2880" w:start="2880" w:end="0"/>
        <w:rPr/>
      </w:pPr>
      <w:r>
        <w:rPr/>
        <w:t>Damages</w:t>
        <w:tab/>
        <w:t>$5,795,130 per Unit</w:t>
      </w:r>
    </w:p>
    <w:p>
      <w:pPr>
        <w:pStyle w:val="Normal"/>
        <w:ind w:hanging="2880" w:start="2880" w:end="0"/>
        <w:rPr/>
      </w:pPr>
      <w:r>
        <w:rPr/>
      </w:r>
    </w:p>
    <w:p>
      <w:pPr>
        <w:pStyle w:val="Normal"/>
        <w:ind w:hanging="2880" w:start="2880" w:end="0"/>
        <w:rPr/>
      </w:pPr>
      <w:r>
        <w:rPr/>
        <w:t>Overall Liability Cap</w:t>
        <w:tab/>
        <w:t>$19,317,100</w:t>
      </w:r>
    </w:p>
    <w:p>
      <w:pPr>
        <w:pStyle w:val="Normal"/>
        <w:ind w:hanging="2880" w:start="2880" w:end="0"/>
        <w:rPr/>
      </w:pPr>
      <w:r>
        <w:rPr/>
      </w:r>
    </w:p>
    <w:p>
      <w:pPr>
        <w:pStyle w:val="Normal"/>
        <w:ind w:hanging="2880" w:start="2880" w:end="0"/>
        <w:rPr/>
      </w:pPr>
      <w:r>
        <w:rPr/>
      </w:r>
    </w:p>
    <w:p>
      <w:pPr>
        <w:pStyle w:val="Normal"/>
        <w:ind w:hanging="2880" w:start="2880" w:end="0"/>
        <w:rPr/>
      </w:pPr>
      <w:r>
        <w:rPr/>
        <w:t>[Remainder of page left intentionally blank]</w:t>
      </w:r>
    </w:p>
    <w:sectPr>
      <w:headerReference w:type="default" r:id="rId2"/>
      <w:type w:val="nextPage"/>
      <w:pgSz w:w="12240" w:h="15840"/>
      <w:pgMar w:left="1800" w:right="1800" w:gutter="0" w:header="720" w:top="1440" w:footer="0" w:bottom="1440"/>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2880" w:start="2880" w:end="0"/>
    </w:pPr>
    <w:rPr/>
  </w:style>
  <w:style w:type="paragraph" w:styleId="WW-BodyText2">
    <w:name w:val="WW-Body Text 2"/>
    <w:basedOn w:val="Normal"/>
    <w:qFormat/>
    <w:pPr>
      <w:ind w:hanging="0" w:start="2880" w:end="0"/>
    </w:pPr>
    <w:rPr/>
  </w:style>
  <w:style w:type="paragraph" w:styleId="BodyTextIndent">
    <w:name w:val="Body Text Indent"/>
    <w:basedOn w:val="Normal"/>
    <w:pPr>
      <w:ind w:hanging="288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2001-01-17T13:22:00Z</dcterms:created>
  <dc:creator>drasmus</dc:creator>
  <dc:description/>
  <dc:language>en-CA</dc:language>
  <cp:lastModifiedBy>ect</cp:lastModifiedBy>
  <cp:lastPrinted>2001-01-17T09:25:00Z</cp:lastPrinted>
  <dcterms:modified xsi:type="dcterms:W3CDTF">2001-01-17T13:22:00Z</dcterms:modified>
  <cp:revision>2</cp:revision>
  <dc:subject/>
  <dc:title>Summary of Contract Terms</dc:title>
</cp:coreProperties>
</file>