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DRAFT OF 10/02/2000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_____________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U.S.$50,000,000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will apply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000000"/>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_________________organized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480" w:after="0"/>
        <w:jc w:val="both"/>
        <w:rPr>
          <w:b/>
          <w:bCs/>
          <w:color w:val="000000"/>
          <w:sz w:val="22"/>
          <w:szCs w:val="22"/>
        </w:rPr>
      </w:pPr>
      <w:r>
        <w:rPr>
          <w:b/>
          <w:bCs/>
          <w:color w:val="000000"/>
          <w:sz w:val="22"/>
          <w:szCs w:val="22"/>
        </w:rPr>
        <w:t>Part 4.  Miscellaneous.</w:t>
      </w:r>
    </w:p>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(vi)</w:t>
        <w:tab/>
      </w:r>
      <w:r>
        <w:rPr>
          <w:b/>
          <w:bCs/>
          <w:color w:val="000000"/>
          <w:sz w:val="22"/>
          <w:szCs w:val="22"/>
        </w:rPr>
        <w:t>Investment Policies.</w:t>
      </w:r>
      <w:r>
        <w:rPr>
          <w:color w:val="000000"/>
          <w:sz w:val="22"/>
          <w:szCs w:val="22"/>
        </w:rPr>
        <w:t xml:space="preserve">  It has clear investment policies, its personnel are fully trained in and knowledgeable of such investment policies, and such investment policies are subject to regular reviews.</w:t>
      </w:r>
    </w:p>
    <w:p>
      <w:pPr>
        <w:pStyle w:val="Normal"/>
        <w:spacing w:before="240" w:after="0"/>
        <w:ind w:firstLine="720" w:end="0"/>
        <w:jc w:val="both"/>
        <w:rPr/>
      </w:pPr>
      <w:r>
        <w:rPr>
          <w:color w:val="000000"/>
          <w:sz w:val="22"/>
          <w:szCs w:val="22"/>
        </w:rPr>
        <w:t>(vii)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w:t>
      </w:r>
      <w:r>
        <w:rPr>
          <w:i/>
          <w:iCs/>
          <w:color w:val="000000"/>
          <w:sz w:val="22"/>
          <w:szCs w:val="22"/>
        </w:rPr>
        <w:t>[specify source of payments]___________________________________</w:t>
      </w:r>
      <w:r>
        <w:rPr>
          <w:color w:val="000000"/>
          <w:sz w:val="22"/>
          <w:szCs w:val="22"/>
        </w:rPr>
        <w:t>.</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color w:val="000000"/>
          <w:sz w:val="22"/>
          <w:szCs w:val="22"/>
        </w:rPr>
      </w:pPr>
      <w:r>
        <w:rPr>
          <w:color w:val="000000"/>
          <w:sz w:val="22"/>
          <w:szCs w:val="22"/>
        </w:rPr>
        <w:t>(i)</w:t>
        <w:tab/>
      </w:r>
      <w:r>
        <w:rPr>
          <w:b/>
          <w:bCs/>
          <w:color w:val="000000"/>
          <w:sz w:val="22"/>
          <w:szCs w:val="22"/>
        </w:rPr>
        <w:t>“Authorizing Law”</w:t>
      </w:r>
      <w:r>
        <w:rPr>
          <w:color w:val="000000"/>
          <w:sz w:val="22"/>
          <w:szCs w:val="22"/>
        </w:rPr>
        <w:t xml:space="preserve"> means </w:t>
      </w:r>
      <w:r>
        <w:rPr>
          <w:i/>
          <w:iCs/>
          <w:color w:val="000000"/>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w:t>
        <w:tab/>
        <w:t>FORM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_____________ organized under the law of the State of New York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color w:val="000000"/>
          <w:sz w:val="22"/>
          <w:szCs w:val="22"/>
        </w:rPr>
      </w:pPr>
      <w:r>
        <w:rPr>
          <w:color w:val="000000"/>
          <w:sz w:val="22"/>
          <w:szCs w:val="22"/>
        </w:rPr>
        <w:t>(iv)  The provisions of Paragraph 5(i)(B) are hereby amended by inserting the following immediately before the word “and” in line 5 thereof:</w:t>
      </w:r>
    </w:p>
    <w:p>
      <w:pPr>
        <w:pStyle w:val="Normal"/>
        <w:spacing w:before="240" w:after="0"/>
        <w:ind w:start="720" w:end="0"/>
        <w:jc w:val="both"/>
        <w:rPr>
          <w:color w:val="000000"/>
          <w:sz w:val="22"/>
          <w:szCs w:val="22"/>
        </w:rPr>
      </w:pPr>
      <w:r>
        <w:rPr>
          <w:color w:val="000000"/>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and the lowest Credit Rating for it is “BBB-” or higher by S&amp;P.</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r>
        <w:br w:type="page"/>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Expanded"/>
        <w:spacing w:lineRule="exact" w:line="240" w:before="0" w:after="0"/>
        <w:rPr>
          <w:caps w:val="false"/>
          <w:smallCaps w:val="false"/>
          <w:color w:val="000000"/>
          <w:spacing w:val="0"/>
          <w:szCs w:val="20"/>
        </w:rPr>
      </w:pPr>
      <w:r>
        <w:rPr>
          <w:caps w:val="false"/>
          <w:smallCaps w:val="false"/>
          <w:color w:val="000000"/>
          <w:spacing w:val="0"/>
          <w:szCs w:val="20"/>
        </w:rPr>
        <w:t>SCHEDULE 1</w:t>
      </w:r>
    </w:p>
    <w:p>
      <w:pPr>
        <w:pStyle w:val="Normal"/>
        <w:spacing w:lineRule="exact" w:line="240"/>
        <w:jc w:val="center"/>
        <w:rPr>
          <w:caps/>
          <w:color w:val="000000"/>
          <w:spacing w:val="0"/>
          <w:sz w:val="22"/>
          <w:szCs w:val="22"/>
        </w:rPr>
      </w:pPr>
      <w:r>
        <w:rPr>
          <w:caps/>
          <w:color w:val="000000"/>
          <w:spacing w:val="0"/>
          <w:sz w:val="22"/>
          <w:szCs w:val="22"/>
        </w:rPr>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jc w:val="center"/>
        <w:rPr>
          <w:color w:val="000000"/>
          <w:sz w:val="22"/>
          <w:szCs w:val="22"/>
        </w:rPr>
      </w:pPr>
      <w:r>
        <w:rPr>
          <w:color w:val="000000"/>
          <w:sz w:val="22"/>
          <w:szCs w:val="22"/>
        </w:rPr>
        <w:t>ATTACHMENT 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[Letterhead of Counterparty’s Outside Legal Counsel]</w:t>
      </w:r>
    </w:p>
    <w:p>
      <w:pPr>
        <w:pStyle w:val="Normal"/>
        <w:spacing w:before="0" w:after="720"/>
        <w:jc w:val="center"/>
        <w:rPr>
          <w:color w:val="000000"/>
          <w:sz w:val="22"/>
          <w:szCs w:val="22"/>
        </w:rPr>
      </w:pPr>
      <w:r>
        <w:rPr>
          <w:color w:val="000000"/>
          <w:sz w:val="22"/>
          <w:szCs w:val="22"/>
        </w:rPr>
        <w:t>[Date]</w:t>
      </w:r>
    </w:p>
    <w:p>
      <w:pPr>
        <w:pStyle w:val="Normal"/>
        <w:rPr>
          <w:color w:val="000000"/>
          <w:sz w:val="22"/>
          <w:szCs w:val="22"/>
        </w:rPr>
      </w:pPr>
      <w:r>
        <w:rPr>
          <w:color w:val="000000"/>
          <w:sz w:val="22"/>
          <w:szCs w:val="22"/>
        </w:rPr>
        <w:t>Enron North America Corp.</w:t>
      </w:r>
    </w:p>
    <w:p>
      <w:pPr>
        <w:pStyle w:val="Normal"/>
        <w:rPr>
          <w:color w:val="000000"/>
          <w:sz w:val="22"/>
          <w:szCs w:val="22"/>
        </w:rPr>
      </w:pPr>
      <w:r>
        <w:rPr>
          <w:color w:val="000000"/>
          <w:sz w:val="22"/>
          <w:szCs w:val="22"/>
        </w:rPr>
        <w:t>1400 Smith Street</w:t>
      </w:r>
    </w:p>
    <w:p>
      <w:pPr>
        <w:pStyle w:val="Normal"/>
        <w:spacing w:before="0" w:after="240"/>
        <w:rPr>
          <w:color w:val="000000"/>
          <w:sz w:val="22"/>
          <w:szCs w:val="22"/>
        </w:rPr>
      </w:pPr>
      <w:r>
        <w:rPr>
          <w:color w:val="000000"/>
          <w:sz w:val="22"/>
          <w:szCs w:val="22"/>
        </w:rPr>
        <w:t>Houston, Texas  77002</w:t>
      </w:r>
    </w:p>
    <w:p>
      <w:pPr>
        <w:pStyle w:val="Normal"/>
        <w:spacing w:before="0" w:after="240"/>
        <w:ind w:hanging="720" w:start="2160" w:end="0"/>
        <w:rPr>
          <w:color w:val="000000"/>
          <w:sz w:val="22"/>
          <w:szCs w:val="22"/>
        </w:rPr>
      </w:pPr>
      <w:r>
        <w:rPr>
          <w:color w:val="000000"/>
          <w:sz w:val="22"/>
          <w:szCs w:val="22"/>
        </w:rPr>
        <w:t>Re:</w:t>
        <w:tab/>
        <w:t>Master Agreement between Enron North America Corp. (“Enron”) and [Name of Entity] (“Counterparty”)</w:t>
      </w:r>
    </w:p>
    <w:p>
      <w:pPr>
        <w:pStyle w:val="Normal"/>
        <w:spacing w:before="0" w:after="240"/>
        <w:rPr>
          <w:color w:val="000000"/>
          <w:sz w:val="22"/>
          <w:szCs w:val="22"/>
        </w:rPr>
      </w:pPr>
      <w:r>
        <w:rPr>
          <w:color w:val="000000"/>
          <w:sz w:val="22"/>
          <w:szCs w:val="22"/>
        </w:rPr>
        <w:t>Ladies and Gentlemen:</w:t>
      </w:r>
    </w:p>
    <w:p>
      <w:pPr>
        <w:pStyle w:val="Normal"/>
        <w:spacing w:before="0" w:after="240"/>
        <w:ind w:firstLine="1440" w:end="0"/>
        <w:jc w:val="both"/>
        <w:rPr>
          <w:color w:val="000000"/>
          <w:sz w:val="22"/>
          <w:szCs w:val="22"/>
        </w:rPr>
      </w:pPr>
      <w:r>
        <w:rPr>
          <w:color w:val="000000"/>
          <w:sz w:val="22"/>
          <w:szCs w:val="22"/>
        </w:rPr>
        <w:t>We are attorneys admitted to practice law in the State of New York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000000"/>
          <w:sz w:val="22"/>
          <w:szCs w:val="22"/>
        </w:rPr>
      </w:pPr>
      <w:r>
        <w:rPr>
          <w:color w:val="000000"/>
          <w:sz w:val="22"/>
          <w:szCs w:val="22"/>
        </w:rPr>
        <w:t>Based upon the foregoing, we are of the opinion that:</w:t>
      </w:r>
    </w:p>
    <w:p>
      <w:pPr>
        <w:pStyle w:val="Normal"/>
        <w:spacing w:before="0" w:after="240"/>
        <w:ind w:firstLine="1440" w:end="0"/>
        <w:jc w:val="both"/>
        <w:rPr>
          <w:color w:val="000000"/>
          <w:sz w:val="22"/>
          <w:szCs w:val="22"/>
        </w:rPr>
      </w:pPr>
      <w:r>
        <w:rPr>
          <w:color w:val="000000"/>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000000"/>
          <w:sz w:val="22"/>
          <w:szCs w:val="22"/>
        </w:rPr>
      </w:pPr>
      <w:r>
        <w:rPr>
          <w:color w:val="000000"/>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000000"/>
          <w:sz w:val="22"/>
          <w:szCs w:val="22"/>
        </w:rPr>
      </w:pPr>
      <w:r>
        <w:rPr>
          <w:color w:val="000000"/>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000000"/>
          <w:sz w:val="22"/>
          <w:szCs w:val="22"/>
        </w:rPr>
      </w:pPr>
      <w:r>
        <w:rPr>
          <w:color w:val="000000"/>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000000"/>
          <w:sz w:val="22"/>
          <w:szCs w:val="22"/>
        </w:rPr>
      </w:pPr>
      <w:r>
        <w:rPr>
          <w:color w:val="000000"/>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color w:val="000000"/>
          <w:sz w:val="22"/>
          <w:szCs w:val="22"/>
        </w:rPr>
      </w:pPr>
      <w:r>
        <w:rPr>
          <w:color w:val="000000"/>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000000"/>
          <w:sz w:val="22"/>
          <w:szCs w:val="22"/>
        </w:rPr>
      </w:pPr>
      <w:r>
        <w:rPr>
          <w:color w:val="000000"/>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000000"/>
          <w:sz w:val="22"/>
          <w:szCs w:val="22"/>
        </w:rPr>
      </w:pPr>
      <w:r>
        <w:rPr>
          <w:color w:val="000000"/>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000000"/>
          <w:sz w:val="22"/>
          <w:szCs w:val="22"/>
        </w:rPr>
      </w:pPr>
      <w:r>
        <w:rPr>
          <w:color w:val="000000"/>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10.</w:t>
        <w:tab/>
        <w:t>No person, firm, corporation, entity, or association other than Counterparty may liquidate, borrow, encumber, or otherwise utilize the assets [(including, without limitation, the assets identified in [</w:t>
      </w:r>
      <w:r>
        <w:rPr>
          <w:i/>
          <w:iCs/>
          <w:color w:val="000000"/>
          <w:sz w:val="22"/>
          <w:szCs w:val="22"/>
        </w:rPr>
        <w:t>[track language regarding assets of Party B in Schedule</w:t>
      </w:r>
      <w:r>
        <w:rPr>
          <w:color w:val="000000"/>
          <w:sz w:val="22"/>
          <w:szCs w:val="22"/>
        </w:rPr>
        <w:t>)] of Counterparty.</w:t>
      </w:r>
    </w:p>
    <w:p>
      <w:pPr>
        <w:pStyle w:val="Normal"/>
        <w:spacing w:before="0" w:after="240"/>
        <w:ind w:firstLine="1440" w:end="0"/>
        <w:jc w:val="both"/>
        <w:rPr>
          <w:color w:val="000000"/>
          <w:sz w:val="22"/>
          <w:szCs w:val="22"/>
        </w:rPr>
      </w:pPr>
      <w:r>
        <w:rPr>
          <w:color w:val="000000"/>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000000"/>
          <w:sz w:val="22"/>
          <w:szCs w:val="22"/>
        </w:rPr>
      </w:pPr>
      <w:r>
        <w:rPr>
          <w:color w:val="000000"/>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000000"/>
          <w:sz w:val="22"/>
          <w:szCs w:val="22"/>
        </w:rPr>
        <w:t>13.</w:t>
        <w:tab/>
        <w:t xml:space="preserve">Counterparty’s obligations under the Agreement are, and until the termination of this Agreement pursuant to the terms hereof shall remain, </w:t>
      </w:r>
      <w:r>
        <w:rPr>
          <w:i/>
          <w:iCs/>
          <w:color w:val="000000"/>
          <w:sz w:val="22"/>
          <w:szCs w:val="22"/>
        </w:rPr>
        <w:t>[track language regarding source of payments in Schedule]</w:t>
      </w:r>
      <w:r>
        <w:rPr>
          <w:color w:val="000000"/>
          <w:sz w:val="22"/>
          <w:szCs w:val="22"/>
        </w:rPr>
        <w:t>.</w:t>
      </w:r>
    </w:p>
    <w:p>
      <w:pPr>
        <w:pStyle w:val="Normal"/>
        <w:spacing w:before="0" w:after="240"/>
        <w:ind w:firstLine="1440" w:end="0"/>
        <w:jc w:val="both"/>
        <w:rPr>
          <w:color w:val="000000"/>
          <w:sz w:val="22"/>
          <w:szCs w:val="22"/>
        </w:rPr>
      </w:pPr>
      <w:r>
        <w:rPr>
          <w:color w:val="000000"/>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000000"/>
          <w:sz w:val="22"/>
          <w:szCs w:val="22"/>
        </w:rPr>
      </w:pPr>
      <w:r>
        <w:rPr>
          <w:color w:val="000000"/>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color w:val="000000"/>
          <w:sz w:val="22"/>
          <w:szCs w:val="22"/>
        </w:rPr>
      </w:pPr>
      <w:r>
        <w:rPr>
          <w:color w:val="000000"/>
          <w:sz w:val="22"/>
          <w:szCs w:val="22"/>
        </w:rPr>
        <w:t>Very truly yours,</w:t>
      </w:r>
    </w:p>
    <w:sectPr>
      <w:headerReference w:type="default" r:id="rId12"/>
      <w:headerReference w:type="first" r:id="rId13"/>
      <w:footerReference w:type="default" r:id="rId14"/>
      <w:footerReference w:type="first" r:id="rId15"/>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/mnt/main-storage/datasets/enron-docs/doc/797ctr__NYPA_.doc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/mnt/main-storage/datasets/enron-docs/doc/797ctr__NYPA_.doc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/mnt/main-storage/datasets/enron-docs/doc/797ctr__NYPA_.doc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/mnt/main-storage/datasets/enron-docs/doc/797ctr__NYPA_.doc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2000-10-02T13:36:00Z</dcterms:created>
  <dc:creator>mheard</dc:creator>
  <dc:description/>
  <dc:language>en-CA</dc:language>
  <cp:lastModifiedBy>tjones</cp:lastModifiedBy>
  <cp:lastPrinted>2000-10-02T15:40:00Z</cp:lastPrinted>
  <dcterms:modified xsi:type="dcterms:W3CDTF">2000-10-03T17:45:00Z</dcterms:modified>
  <cp:revision>34</cp:revision>
  <dc:subject/>
  <dc:title>ISDA Multicurrency Agreement</dc:title>
</cp:coreProperties>
</file>