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DRAFT OF 10/16/2000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public benefit corporation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pPr>
      <w:r>
        <w:rPr>
          <w:color w:val="000000"/>
          <w:sz w:val="22"/>
          <w:szCs w:val="22"/>
        </w:rPr>
        <w:t>(i)</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color w:val="000000"/>
          <w:sz w:val="22"/>
          <w:szCs w:val="22"/>
        </w:rPr>
      </w:pPr>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Moody’s” means Moody’s Investors Service, Inc. or its successor.</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S&amp;P” means the Standard &amp; Poor's Rating Group (a division of McGraw-Hill, Inc.) or its successor.</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public benefit corporation 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resolution of Party B’s Board of Trustees adopted September 30, 1997</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Semiannual Unaudited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September 30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1-1 – 1-4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2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Dave Wang</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(914) 681-6877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(914) 681-6850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business activities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Except as may be authorized under applicable bond and note resolutions, no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spacing w:before="240" w:after="0"/>
        <w:ind w:hanging="720" w:start="1440" w:end="0"/>
        <w:jc w:val="both"/>
        <w:rPr/>
      </w:pPr>
      <w:r>
        <w:rPr>
          <w:color w:val="000000"/>
          <w:sz w:val="22"/>
          <w:szCs w:val="22"/>
        </w:rPr>
        <w:t>(vi)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the funds of Party B.</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pPr>
      <w:r>
        <w:rPr>
          <w:color w:val="000000"/>
          <w:sz w:val="22"/>
          <w:szCs w:val="22"/>
        </w:rPr>
        <w:t>(i)</w:t>
        <w:tab/>
      </w:r>
      <w:r>
        <w:rPr>
          <w:b/>
          <w:bCs/>
          <w:color w:val="000000"/>
          <w:sz w:val="22"/>
          <w:szCs w:val="22"/>
        </w:rPr>
        <w:t>“Authorizing Law”</w:t>
      </w:r>
      <w:r>
        <w:rPr>
          <w:color w:val="000000"/>
          <w:sz w:val="22"/>
          <w:szCs w:val="22"/>
        </w:rPr>
        <w:t xml:space="preserve"> means New York Public Authorities Law §§1000-1017.</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1-1 – 1-4</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2</w:t>
        <w:tab/>
        <w:t>FORM OF LEGAL OPINION (PARTY B)</w:t>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color w:val="000000"/>
          <w:sz w:val="22"/>
          <w:szCs w:val="22"/>
        </w:rPr>
      </w:pPr>
      <w:r>
        <w:rPr>
          <w:color w:val="000000"/>
          <w:sz w:val="22"/>
          <w:szCs w:val="22"/>
        </w:rPr>
        <w:t>ATTACHMENT 1-1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sz w:val="22"/>
        </w:rPr>
      </w:pPr>
      <w:r>
        <w:rPr>
          <w:sz w:val="22"/>
        </w:rPr>
        <w:t>October ___,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790" w:leader="none"/>
        </w:tabs>
        <w:rPr>
          <w:sz w:val="22"/>
        </w:rPr>
      </w:pPr>
      <w:r>
        <w:rPr>
          <w:sz w:val="22"/>
        </w:rPr>
      </w:r>
    </w:p>
    <w:p>
      <w:pPr>
        <w:pStyle w:val="Normal"/>
        <w:tabs>
          <w:tab w:val="clear" w:pos="720"/>
          <w:tab w:val="left" w:pos="2790" w:leader="none"/>
        </w:tabs>
        <w:rPr>
          <w:sz w:val="22"/>
        </w:rPr>
      </w:pPr>
      <w:r>
        <w:rPr>
          <w:sz w:val="22"/>
        </w:rPr>
        <w:t>Power Authority of the State of New York</w:t>
      </w:r>
    </w:p>
    <w:p>
      <w:pPr>
        <w:pStyle w:val="Normal"/>
        <w:tabs>
          <w:tab w:val="clear" w:pos="720"/>
          <w:tab w:val="left" w:pos="2790" w:leader="none"/>
        </w:tabs>
        <w:rPr>
          <w:sz w:val="22"/>
        </w:rPr>
      </w:pPr>
      <w:r>
        <w:rPr>
          <w:sz w:val="22"/>
        </w:rPr>
        <w:t>123 Main Street</w:t>
      </w:r>
    </w:p>
    <w:p>
      <w:pPr>
        <w:pStyle w:val="Normal"/>
        <w:tabs>
          <w:tab w:val="clear" w:pos="720"/>
          <w:tab w:val="left" w:pos="2790" w:leader="none"/>
        </w:tabs>
        <w:rPr>
          <w:sz w:val="22"/>
        </w:rPr>
      </w:pPr>
      <w:r>
        <w:rPr>
          <w:sz w:val="22"/>
        </w:rPr>
        <w:t>White Plains, New York  10601</w:t>
      </w:r>
    </w:p>
    <w:p>
      <w:pPr>
        <w:pStyle w:val="Normal"/>
        <w:tabs>
          <w:tab w:val="clear" w:pos="720"/>
          <w:tab w:val="left" w:pos="2790" w:leader="none"/>
        </w:tabs>
        <w:rPr>
          <w:sz w:val="22"/>
        </w:rPr>
      </w:pPr>
      <w:r>
        <w:rPr>
          <w:sz w:val="22"/>
        </w:rPr>
      </w:r>
    </w:p>
    <w:p>
      <w:pPr>
        <w:pStyle w:val="Normal"/>
        <w:rPr>
          <w:sz w:val="22"/>
        </w:rPr>
      </w:pPr>
      <w:r>
        <w:rPr>
          <w:sz w:val="22"/>
        </w:rPr>
        <w:t>Ladies and Gentlemen:</w:t>
      </w:r>
    </w:p>
    <w:p>
      <w:pPr>
        <w:pStyle w:val="Footer"/>
        <w:tabs>
          <w:tab w:val="clear" w:pos="4320"/>
          <w:tab w:val="clear" w:pos="8640"/>
        </w:tabs>
        <w:rPr>
          <w:sz w:val="22"/>
        </w:rPr>
      </w:pPr>
      <w:r>
        <w:rPr>
          <w:sz w:val="22"/>
        </w:rPr>
      </w:r>
    </w:p>
    <w:p>
      <w:pPr>
        <w:pStyle w:val="Normal"/>
        <w:spacing w:before="0" w:after="120"/>
        <w:jc w:val="both"/>
        <w:rPr>
          <w:sz w:val="22"/>
        </w:rPr>
      </w:pPr>
      <w:r>
        <w:rPr>
          <w:sz w:val="22"/>
        </w:rPr>
        <w:t>As Managing Director and General Counsel of Enron North America Corp. (“ENA”), a Delaware corporation, I am familiar with ISDA Master Agreement dated as of October __,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p>
    <w:p>
      <w:pPr>
        <w:pStyle w:val="Normal"/>
        <w:spacing w:before="0" w:after="120"/>
        <w:jc w:val="both"/>
        <w:rPr>
          <w:sz w:val="22"/>
        </w:rPr>
      </w:pPr>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p>
    <w:p>
      <w:pPr>
        <w:pStyle w:val="Normal"/>
        <w:spacing w:before="0" w:after="120"/>
        <w:jc w:val="both"/>
        <w:rPr>
          <w:sz w:val="22"/>
        </w:rPr>
      </w:pPr>
      <w:r>
        <w:rPr>
          <w:sz w:val="22"/>
        </w:rPr>
        <w:t>Based on the foregoing, and subject to the assumptions, qualifications and explanations set forth herein, I am of the opinion that:</w:t>
      </w:r>
    </w:p>
    <w:p>
      <w:pPr>
        <w:pStyle w:val="Normal"/>
        <w:spacing w:before="0" w:after="120"/>
        <w:ind w:hanging="720" w:start="720" w:end="0"/>
        <w:jc w:val="both"/>
        <w:rPr>
          <w:sz w:val="22"/>
        </w:rPr>
      </w:pPr>
      <w:r>
        <w:rPr>
          <w:sz w:val="22"/>
        </w:rPr>
        <w:t>1.</w:t>
        <w:tab/>
        <w:t>ENA is a corporation duly incorporated, validly existing and in good standing under the laws of the State of Delaware.  ENA is a wholly-owned subsidiary of Enron Corp., an Oregon corporation.</w:t>
      </w:r>
    </w:p>
    <w:p>
      <w:pPr>
        <w:pStyle w:val="Normal"/>
        <w:spacing w:before="0" w:after="120"/>
        <w:ind w:hanging="720" w:start="720" w:end="0"/>
        <w:jc w:val="both"/>
        <w:rPr>
          <w:sz w:val="22"/>
        </w:rPr>
      </w:pPr>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p>
    <w:p>
      <w:pPr>
        <w:pStyle w:val="BodyText2"/>
        <w:rPr>
          <w:sz w:val="22"/>
        </w:rPr>
      </w:pPr>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r>
        <w:br w:type="page"/>
      </w:r>
    </w:p>
    <w:p>
      <w:pPr>
        <w:pStyle w:val="BodyText"/>
        <w:jc w:val="both"/>
        <w:rPr>
          <w:sz w:val="22"/>
        </w:rPr>
      </w:pPr>
      <w:r>
        <w:rPr>
          <w:sz w:val="22"/>
        </w:rPr>
      </w:r>
    </w:p>
    <w:p>
      <w:pPr>
        <w:pStyle w:val="BodyText"/>
        <w:jc w:val="both"/>
        <w:rPr/>
      </w:pPr>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p>
    <w:p>
      <w:pPr>
        <w:pStyle w:val="Normal"/>
        <w:jc w:val="both"/>
        <w:rPr>
          <w:sz w:val="22"/>
        </w:rPr>
      </w:pPr>
      <w:r>
        <w:rPr>
          <w:sz w:val="22"/>
        </w:rPr>
      </w:r>
    </w:p>
    <w:p>
      <w:pPr>
        <w:pStyle w:val="Normal"/>
        <w:ind w:start="5670" w:end="0"/>
        <w:rPr>
          <w:sz w:val="22"/>
        </w:rPr>
      </w:pPr>
      <w:r>
        <w:rPr>
          <w:sz w:val="22"/>
        </w:rPr>
        <w:t>Very truly yours,</w:t>
      </w:r>
    </w:p>
    <w:p>
      <w:pPr>
        <w:pStyle w:val="Normal"/>
        <w:ind w:start="5670" w:end="0"/>
        <w:rPr>
          <w:sz w:val="22"/>
        </w:rPr>
      </w:pPr>
      <w:r>
        <w:rPr>
          <w:sz w:val="22"/>
        </w:rPr>
      </w:r>
    </w:p>
    <w:p>
      <w:pPr>
        <w:pStyle w:val="Normal"/>
        <w:ind w:start="5670" w:end="0"/>
        <w:rPr>
          <w:sz w:val="22"/>
        </w:rPr>
      </w:pPr>
      <w:r>
        <w:rPr>
          <w:sz w:val="22"/>
        </w:rPr>
      </w:r>
    </w:p>
    <w:p>
      <w:pPr>
        <w:pStyle w:val="Normal"/>
        <w:ind w:start="5670" w:end="0"/>
        <w:rPr>
          <w:sz w:val="22"/>
        </w:rPr>
      </w:pPr>
      <w:r>
        <w:rPr>
          <w:sz w:val="22"/>
        </w:rPr>
      </w:r>
    </w:p>
    <w:p>
      <w:pPr>
        <w:sectPr>
          <w:headerReference w:type="default" r:id="rId3"/>
          <w:headerReference w:type="first" r:id="rId4"/>
          <w:footerReference w:type="default" r:id="rId5"/>
          <w:footerReference w:type="first" r:id="rId6"/>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z w:val="22"/>
        </w:rPr>
      </w:pPr>
      <w:r>
        <w:rPr>
          <w:sz w:val="22"/>
        </w:rPr>
        <w:t>Mark E. Haedicke</w:t>
      </w:r>
    </w:p>
    <w:p>
      <w:pPr>
        <w:pStyle w:val="Normal"/>
        <w:jc w:val="center"/>
        <w:rPr>
          <w:color w:val="000000"/>
          <w:sz w:val="22"/>
          <w:szCs w:val="22"/>
        </w:rPr>
      </w:pPr>
      <w:r>
        <w:rPr>
          <w:color w:val="000000"/>
          <w:sz w:val="22"/>
          <w:szCs w:val="22"/>
        </w:rPr>
        <w:t>ATTACHMENT 2</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[FORM OF LEGAL OPINION (PARTY B)</w:t>
      </w:r>
    </w:p>
    <w:p>
      <w:pPr>
        <w:pStyle w:val="Normal"/>
        <w:jc w:val="end"/>
        <w:rPr>
          <w:sz w:val="22"/>
        </w:rPr>
      </w:pPr>
      <w:r>
        <w:rPr>
          <w:sz w:val="22"/>
        </w:rPr>
        <w:t>October   ,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 xml:space="preserve">     </w:t>
      </w:r>
      <w:r>
        <w:rPr>
          <w:sz w:val="22"/>
        </w:rPr>
        <w:t>As Deputy General Counsel of Power Authority of the State of New York (the “Authority”) and in accordance with the ISDA Master Agreement dated as of October   , 2000, between the Authority and Enron North America Corp. (the “Counterparty”) (the “Master Agreement”), I hereby advise that in my opinion:</w:t>
      </w:r>
    </w:p>
    <w:p>
      <w:pPr>
        <w:pStyle w:val="Normal"/>
        <w:jc w:val="both"/>
        <w:rPr>
          <w:sz w:val="22"/>
        </w:rPr>
      </w:pPr>
      <w:r>
        <w:rPr>
          <w:sz w:val="22"/>
        </w:rPr>
        <w:t xml:space="preserve">     </w:t>
      </w:r>
    </w:p>
    <w:p>
      <w:pPr>
        <w:pStyle w:val="BodyText2"/>
        <w:rPr>
          <w:sz w:val="22"/>
        </w:rPr>
      </w:pPr>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jc w:val="both"/>
        <w:rPr>
          <w:sz w:val="22"/>
        </w:rPr>
      </w:pPr>
      <w:r>
        <w:rPr>
          <w:sz w:val="22"/>
        </w:rPr>
        <w:t xml:space="preserve">     </w:t>
      </w:r>
    </w:p>
    <w:p>
      <w:pPr>
        <w:pStyle w:val="Footer"/>
        <w:tabs>
          <w:tab w:val="clear" w:pos="4320"/>
          <w:tab w:val="clear" w:pos="8640"/>
          <w:tab w:val="left" w:pos="360" w:leader="none"/>
          <w:tab w:val="left" w:pos="1080" w:leader="none"/>
        </w:tabs>
        <w:ind w:firstLine="720" w:end="0"/>
        <w:jc w:val="both"/>
        <w:rPr/>
      </w:pPr>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jc w:val="both"/>
        <w:rPr>
          <w:sz w:val="22"/>
        </w:rPr>
      </w:pPr>
      <w:r>
        <w:rPr>
          <w:sz w:val="22"/>
        </w:rPr>
      </w:r>
    </w:p>
    <w:p>
      <w:pPr>
        <w:pStyle w:val="Normal"/>
        <w:ind w:firstLine="540" w:start="180" w:end="0"/>
        <w:jc w:val="both"/>
        <w:rPr>
          <w:sz w:val="22"/>
        </w:rPr>
      </w:pPr>
      <w:r>
        <w:rPr>
          <w:sz w:val="22"/>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jc w:val="both"/>
        <w:rPr>
          <w:sz w:val="22"/>
        </w:rPr>
      </w:pPr>
      <w:r>
        <w:rPr>
          <w:sz w:val="22"/>
        </w:rPr>
      </w:r>
    </w:p>
    <w:p>
      <w:pPr>
        <w:pStyle w:val="Normal"/>
        <w:ind w:firstLine="540" w:start="180" w:end="0"/>
        <w:jc w:val="both"/>
        <w:rPr>
          <w:sz w:val="22"/>
        </w:rPr>
      </w:pPr>
      <w:r>
        <w:rPr>
          <w:sz w:val="22"/>
        </w:rPr>
        <w:t>4.  No registration with, consent of, or approval by any governmental officer, agency or commission is necessary for the making and performance of the Master Agreement.</w:t>
      </w:r>
    </w:p>
    <w:p>
      <w:pPr>
        <w:pStyle w:val="BodyText2"/>
        <w:rPr>
          <w:sz w:val="22"/>
        </w:rPr>
      </w:pPr>
      <w:r>
        <w:rPr>
          <w:sz w:val="22"/>
        </w:rPr>
      </w:r>
    </w:p>
    <w:p>
      <w:pPr>
        <w:pStyle w:val="BodyText2"/>
        <w:rPr>
          <w:sz w:val="22"/>
        </w:rPr>
      </w:pPr>
      <w:r>
        <w:rPr>
          <w:sz w:val="22"/>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jc w:val="both"/>
        <w:rPr>
          <w:sz w:val="22"/>
        </w:rPr>
      </w:pPr>
      <w:r>
        <w:rPr>
          <w:sz w:val="22"/>
        </w:rPr>
      </w:r>
    </w:p>
    <w:p>
      <w:pPr>
        <w:pStyle w:val="Footer"/>
        <w:widowControl/>
        <w:tabs>
          <w:tab w:val="clear" w:pos="4320"/>
          <w:tab w:val="clear" w:pos="8640"/>
        </w:tabs>
        <w:jc w:val="both"/>
        <w:rPr/>
      </w:pPr>
      <w:r>
        <w:rPr/>
      </w:r>
    </w:p>
    <w:p>
      <w:pPr>
        <w:pStyle w:val="Normal"/>
        <w:jc w:val="both"/>
        <w:rPr>
          <w:sz w:val="22"/>
        </w:rPr>
      </w:pPr>
      <w:r>
        <w:rPr>
          <w:sz w:val="22"/>
        </w:rPr>
      </w:r>
    </w:p>
    <w:p>
      <w:pPr>
        <w:sectPr>
          <w:headerReference w:type="default" r:id="rId7"/>
          <w:headerReference w:type="first" r:id="rId8"/>
          <w:footerReference w:type="default" r:id="rId9"/>
          <w:footerReference w:type="first" r:id="rId10"/>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r>
        <w:rPr>
          <w:sz w:val="22"/>
        </w:rPr>
        <w:tab/>
        <w:tab/>
        <w:tab/>
        <w:tab/>
        <w:tab/>
        <w:tab/>
        <w:t>________________________</w:t>
      </w:r>
    </w:p>
    <w:p>
      <w:pPr>
        <w:pStyle w:val="Heading6"/>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__,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w:t>
      </w:r>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Power Authority of the State of New York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123 Main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White Plains, New York  10601</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Doug Wang</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(914) 681-6877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1"/>
      <w:headerReference w:type="first" r:id="rId12"/>
      <w:footerReference w:type="default" r:id="rId13"/>
      <w:footerReference w:type="first" r:id="rId14"/>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/mnt/main-storage/datasets/enron-docs/doc/797actr__NYPA_-8290eba0379d76e116bf5afa8e57e9e29c2d72e3cdd51d6db8796902ae8b25e2.doc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/mnt/main-storage/datasets/enron-docs/doc/797actr__NYPA_-8290eba0379d76e116bf5afa8e57e9e29c2d72e3cdd51d6db8796902ae8b25e2.doc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2000-10-16T17:10:00Z</dcterms:created>
  <dc:creator>mheard</dc:creator>
  <dc:description/>
  <dc:language>en-CA</dc:language>
  <cp:lastModifiedBy>tjones</cp:lastModifiedBy>
  <cp:lastPrinted>2000-10-16T15:55:00Z</cp:lastPrinted>
  <dcterms:modified xsi:type="dcterms:W3CDTF">2000-10-16T19:04:00Z</dcterms:modified>
  <cp:revision>49</cp:revision>
  <dc:subject/>
  <dc:title>ISDA Multicurrency Agreement</dc:title>
</cp:coreProperties>
</file>