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09/27/2000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THE TORONTO-DOMINION BANK, ACTING THROUGH ITS TORONTO BRANCH, a Canadian chartered bank</w:t>
            </w:r>
          </w:p>
          <w:p>
            <w:pPr>
              <w:pStyle w:val="Normal"/>
              <w:tabs>
                <w:tab w:val="clear" w:pos="720"/>
                <w:tab w:val="center" w:pos="5760" w:leader="none"/>
              </w:tabs>
              <w:jc w:val="center"/>
              <w:rPr>
                <w:b/>
                <w:bCs/>
                <w:color w:val="000000"/>
                <w:sz w:val="22"/>
                <w:szCs w:val="22"/>
              </w:rPr>
            </w:pPr>
            <w:r>
              <w:rPr>
                <w:b/>
                <w:bCs/>
                <w:color w:val="000000"/>
                <w:sz w:val="22"/>
                <w:szCs w:val="22"/>
              </w:rPr>
              <w:t>(“Party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The Toronto-Dominion Bank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55 King Street West &amp; Bay Street</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9</w:t>
            </w:r>
            <w:r>
              <w:rPr>
                <w:color w:val="000000"/>
                <w:sz w:val="22"/>
                <w:szCs w:val="22"/>
                <w:vertAlign w:val="superscript"/>
              </w:rPr>
              <w:t>th</w:t>
            </w:r>
            <w:r>
              <w:rPr>
                <w:color w:val="000000"/>
                <w:sz w:val="22"/>
                <w:szCs w:val="22"/>
              </w:rPr>
              <w:t xml:space="preserve"> Floor, TD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M5K 1A2</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Senior Manager, Treasury Credit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(416) 307-1222</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(416) 983-4732</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incorporated in the United States or Canada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rPr>
                <w:color w:val="000000"/>
                <w:sz w:val="22"/>
                <w:szCs w:val="22"/>
              </w:rPr>
            </w:pPr>
            <w:r>
              <w:rPr>
                <w:b/>
                <w:bCs/>
                <w:color w:val="000000"/>
                <w:sz w:val="22"/>
                <w:szCs w:val="22"/>
              </w:rPr>
              <w:t>THE TORONTO-DOMINION BANK, ACTING THROUGH ITS TORONTO BRANCH</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 OF LEGAL OPINIONS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THE TORONTO-DOMINION BANK, ACTING THROUGH ITS TORONTO BRANCH, a Canadian chartered bank</w:t>
            </w:r>
          </w:p>
          <w:p>
            <w:pPr>
              <w:pStyle w:val="Normal"/>
              <w:tabs>
                <w:tab w:val="clear" w:pos="720"/>
                <w:tab w:val="center" w:pos="5760" w:leader="none"/>
              </w:tabs>
              <w:jc w:val="center"/>
              <w:rPr>
                <w:b/>
                <w:bCs/>
                <w:color w:val="000000"/>
                <w:sz w:val="22"/>
                <w:szCs w:val="22"/>
              </w:rPr>
            </w:pPr>
            <w:r>
              <w:rPr>
                <w:b/>
                <w:bCs/>
                <w:color w:val="000000"/>
                <w:sz w:val="22"/>
                <w:szCs w:val="22"/>
              </w:rPr>
              <w:t>(“Party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C$75,000,000 and with respect to Party B, C$75,000,000;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/mnt/main-storage/datasets/enron-docs/doc/796ctr__Toronto_Dominion_.doc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/mnt/main-storage/datasets/enron-docs/doc/796ctr__Toronto_Dominion_.doc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/mnt/main-storage/datasets/enron-docs/doc/796ctr__Toronto_Dominion_.doc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/mnt/main-storage/datasets/enron-docs/doc/796ctr__Toronto_Dominion_.doc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2000-09-27T18:28:00Z</dcterms:created>
  <dc:creator>mheard</dc:creator>
  <dc:description/>
  <dc:language>en-CA</dc:language>
  <cp:lastModifiedBy>tjones</cp:lastModifiedBy>
  <cp:lastPrinted>2000-09-19T13:29:00Z</cp:lastPrinted>
  <dcterms:modified xsi:type="dcterms:W3CDTF">2000-09-27T19:23:00Z</dcterms:modified>
  <cp:revision>10</cp:revision>
  <dc:subject/>
  <dc:title>ISDA Multicurrency Agreement</dc:title>
</cp:coreProperties>
</file>