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color w:val="000000"/>
        </w:rPr>
      </w:pPr>
      <w:r>
        <w:rPr>
          <w:color w:val="000000"/>
        </w:rPr>
        <w:t xml:space="preserve"> </w:t>
      </w:r>
      <w:r>
        <w:rPr>
          <w:color w:val="000000"/>
        </w:rPr>
        <w:t>ISDA Multicurrency Agreement</w:t>
      </w:r>
    </w:p>
    <w:p>
      <w:pPr>
        <w:pStyle w:val="Normal"/>
        <w:jc w:val="end"/>
        <w:rPr>
          <w:b/>
          <w:bCs/>
          <w:color w:val="000000"/>
          <w:sz w:val="22"/>
          <w:szCs w:val="22"/>
        </w:rPr>
      </w:pPr>
      <w:r>
        <w:rPr>
          <w:b/>
          <w:bCs/>
          <w:color w:val="000000"/>
          <w:sz w:val="22"/>
          <w:szCs w:val="22"/>
        </w:rPr>
      </w:r>
    </w:p>
    <w:p>
      <w:pPr>
        <w:pStyle w:val="BodyText3"/>
        <w:rPr>
          <w:color w:val="000000"/>
        </w:rPr>
      </w:pPr>
      <w:r>
        <w:rPr>
          <w:color w:val="000000"/>
        </w:rPr>
        <w:t>SCHEDULE</w:t>
        <w:br/>
        <w:t>to the</w:t>
        <w:br/>
        <w:t>MASTER AGREEMENT</w:t>
        <w:br/>
        <w:t>(Multicurrency-Cross Border)</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dated as of October __, 2001</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ENRON CANADA CORP., a corporation organized under the law of the Province of Alberta (“Party A”), and</w:t>
            </w:r>
          </w:p>
        </w:tc>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ONTARIO POWER GENERATION INC., a corporation organized under the law of the Province of Ontario (“Party B”)</w:t>
            </w:r>
          </w:p>
        </w:tc>
      </w:tr>
    </w:tbl>
    <w:p>
      <w:pPr>
        <w:pStyle w:val="Normal"/>
        <w:spacing w:before="480" w:after="0"/>
        <w:jc w:val="both"/>
        <w:rPr/>
      </w:pPr>
      <w:r>
        <w:rPr>
          <w:b/>
          <w:bCs/>
          <w:color w:val="000000"/>
          <w:sz w:val="22"/>
          <w:szCs w:val="22"/>
        </w:rPr>
        <w:t>Part 1.</w:t>
      </w:r>
      <w:r>
        <w:rPr>
          <w:color w:val="000000"/>
          <w:sz w:val="22"/>
          <w:szCs w:val="22"/>
        </w:rPr>
        <w:t xml:space="preserve"> </w:t>
      </w:r>
      <w:r>
        <w:rPr>
          <w:b/>
          <w:bCs/>
          <w:color w:val="000000"/>
          <w:sz w:val="22"/>
          <w:szCs w:val="22"/>
        </w:rPr>
        <w:t>Termination Provisions.</w:t>
      </w:r>
    </w:p>
    <w:p>
      <w:pPr>
        <w:pStyle w:val="Normal"/>
        <w:spacing w:lineRule="exact" w:line="240" w:before="240" w:after="0"/>
        <w:ind w:start="720" w:end="0"/>
        <w:jc w:val="both"/>
        <w:rPr/>
      </w:pPr>
      <w:r>
        <w:rPr>
          <w:color w:val="000000"/>
          <w:sz w:val="22"/>
          <w:szCs w:val="22"/>
        </w:rPr>
        <w:t xml:space="preserve">(a)  </w:t>
      </w:r>
      <w:r>
        <w:rPr>
          <w:b/>
          <w:bCs/>
          <w:color w:val="000000"/>
          <w:sz w:val="22"/>
          <w:szCs w:val="22"/>
        </w:rPr>
        <w:t>“Specified Entity”</w:t>
      </w:r>
      <w:r>
        <w:rPr>
          <w:color w:val="000000"/>
          <w:sz w:val="22"/>
          <w:szCs w:val="22"/>
        </w:rPr>
        <w:t xml:space="preserve"> means for purposes of Sections 5(a)(v), (vi) and (vii) and in relation to Party A, Enron Power Marketing, Inc.; and in relation to Party B, none.</w:t>
      </w:r>
    </w:p>
    <w:p>
      <w:pPr>
        <w:pStyle w:val="Normal"/>
        <w:spacing w:lineRule="exact" w:line="240" w:before="240" w:after="0"/>
        <w:ind w:start="720" w:end="0"/>
        <w:jc w:val="both"/>
        <w:rPr/>
      </w:pPr>
      <w:r>
        <w:rPr>
          <w:color w:val="000000"/>
          <w:sz w:val="22"/>
          <w:szCs w:val="22"/>
        </w:rPr>
        <w:t xml:space="preserve">(b)  </w:t>
      </w:r>
      <w:r>
        <w:rPr>
          <w:b/>
          <w:bCs/>
          <w:color w:val="000000"/>
          <w:sz w:val="22"/>
          <w:szCs w:val="22"/>
        </w:rPr>
        <w:t>“Specified Transaction”</w:t>
      </w:r>
      <w:r>
        <w:rPr>
          <w:color w:val="000000"/>
          <w:sz w:val="22"/>
          <w:szCs w:val="22"/>
        </w:rPr>
        <w:t xml:space="preserve"> will have the meaning specified in Section 14 of this Agreement and “Specified Transaction” shall also include any Transaction (including an agreement with respect thereto) now existing or hereafter entered into between one party to this Agreement (or any Credit Support Provider of such party or any applicable Specified Entity of such party) and the other party to this Agreement (or any Credit Support Provider of such party or any applicable Specified Entity of such party) which is in respect of the purchase or sale of electricity, natural gas, coal, oil or any other commodity (in each case, a “Commodity Transaction”).</w:t>
      </w:r>
    </w:p>
    <w:p>
      <w:pPr>
        <w:pStyle w:val="Normal"/>
        <w:spacing w:lineRule="exact" w:line="240" w:before="240" w:after="0"/>
        <w:ind w:start="720" w:end="0"/>
        <w:jc w:val="both"/>
        <w:rPr>
          <w:color w:val="000000"/>
          <w:sz w:val="22"/>
          <w:szCs w:val="22"/>
        </w:rPr>
      </w:pPr>
      <w:r>
        <w:rPr>
          <w:color w:val="000000"/>
          <w:sz w:val="22"/>
          <w:szCs w:val="22"/>
        </w:rPr>
        <w:t>Section 5(a)(v) is amended by adding the following provisions thereto:</w:t>
      </w:r>
    </w:p>
    <w:p>
      <w:pPr>
        <w:pStyle w:val="Normal"/>
        <w:spacing w:lineRule="exact" w:line="240" w:before="240" w:after="0"/>
        <w:ind w:start="720" w:end="0"/>
        <w:jc w:val="both"/>
        <w:rPr>
          <w:color w:val="000000"/>
          <w:sz w:val="22"/>
          <w:szCs w:val="22"/>
        </w:rPr>
      </w:pPr>
      <w:r>
        <w:rPr>
          <w:color w:val="000000"/>
          <w:sz w:val="22"/>
          <w:szCs w:val="22"/>
        </w:rPr>
        <w:t>“</w:t>
      </w:r>
      <w:r>
        <w:rPr>
          <w:color w:val="000000"/>
          <w:sz w:val="22"/>
          <w:szCs w:val="22"/>
        </w:rPr>
        <w:t>provided, notwithstanding the foregoing, with respect to each Specified Transaction that is a Commodity Transaction and with respect to each Specified Transaction to which Party A’s Specified Entity is a party, this Section 5(a)(v) shall only apply to a default in the payment of monies owed under such Specified Transaction or any Credit Support Document related thereto in an aggregate amount greater than U.S.$200,000 that is not the subject of a good faith dispute and this Section 5(a)(v) shall not in any manner otherwise apply with respect to such Specified Transactions;”</w:t>
      </w:r>
    </w:p>
    <w:p>
      <w:pPr>
        <w:pStyle w:val="Normal"/>
        <w:spacing w:lineRule="exact" w:line="240" w:before="240" w:after="0"/>
        <w:ind w:firstLine="720" w:end="0"/>
        <w:jc w:val="both"/>
        <w:rPr/>
      </w:pPr>
      <w:r>
        <w:rPr>
          <w:color w:val="000000"/>
          <w:sz w:val="22"/>
          <w:szCs w:val="22"/>
        </w:rPr>
        <w:t>(c)</w:t>
        <w:tab/>
        <w:t>The “</w:t>
      </w:r>
      <w:r>
        <w:rPr>
          <w:b/>
          <w:bCs/>
          <w:color w:val="000000"/>
          <w:sz w:val="22"/>
          <w:szCs w:val="22"/>
        </w:rPr>
        <w:t>Cross Default”</w:t>
      </w:r>
      <w:r>
        <w:rPr>
          <w:color w:val="000000"/>
          <w:sz w:val="22"/>
          <w:szCs w:val="22"/>
        </w:rPr>
        <w:t xml:space="preserve"> provisions of Section 5(a)(vi) will apply to Party A, and will apply to Party B, and:</w:t>
      </w:r>
    </w:p>
    <w:p>
      <w:pPr>
        <w:pStyle w:val="Normal"/>
        <w:spacing w:lineRule="exact" w:line="240" w:before="240" w:after="0"/>
        <w:ind w:start="720" w:end="0"/>
        <w:jc w:val="both"/>
        <w:rPr>
          <w:color w:val="000000"/>
          <w:sz w:val="22"/>
          <w:szCs w:val="22"/>
        </w:rPr>
      </w:pPr>
      <w:r>
        <w:rPr>
          <w:color w:val="000000"/>
          <w:sz w:val="22"/>
          <w:szCs w:val="22"/>
        </w:rPr>
        <w:t>(i)</w:t>
        <w:tab/>
        <w:t>Section 5(a)(vi) is amended by deleting in the seventh line thereof “, or becoming capable at such time of being declared,”.</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(ii)</w:t>
        <w:tab/>
      </w:r>
      <w:r>
        <w:rPr>
          <w:color w:val="000000"/>
          <w:sz w:val="22"/>
        </w:rPr>
        <w:t>The term “Cross Default” shall exclude any default that results solely from:  (I) wire transfer difficulties; (II) an administrative or operational error or omission (so long as sufficient funds are available); or (III) the general lack of availability, by reason of exchange controls or other similar government action, of the currency in which the Specified Indebtedness is denominated.  The preceding sentence shall apply only if (A) funds were available to such party, any Credit Support Provider of such party, or any applicable Specified Entity of such party, as the case may be, to enable the party to make the relevant payment when due, and (B) the party makes the relevant payment within three (3) Local Business Days after such transfer difficulties have been corrected, the error or omission has been discovered, or such currency becomes available.</w:t>
      </w:r>
    </w:p>
    <w:p>
      <w:pPr>
        <w:pStyle w:val="Normal"/>
        <w:spacing w:lineRule="exact" w:line="240" w:before="240" w:after="0"/>
        <w:ind w:start="720" w:end="0"/>
        <w:jc w:val="both"/>
        <w:rPr/>
      </w:pPr>
      <w:r>
        <w:rPr>
          <w:color w:val="000000"/>
          <w:sz w:val="22"/>
          <w:szCs w:val="22"/>
        </w:rPr>
        <w:t>(iii)</w:t>
        <w:tab/>
      </w:r>
      <w:r>
        <w:rPr>
          <w:b/>
          <w:bCs/>
          <w:color w:val="000000"/>
          <w:sz w:val="22"/>
          <w:szCs w:val="22"/>
        </w:rPr>
        <w:t>“Specified Indebtedness”</w:t>
      </w:r>
      <w:r>
        <w:rPr>
          <w:color w:val="000000"/>
          <w:sz w:val="22"/>
          <w:szCs w:val="22"/>
        </w:rPr>
        <w:t xml:space="preserve"> means with respect to Party A and Party B, any obligation (whether present or future, contingent or otherwise as principal or surety or otherwise) for the payment or repayment of borrowed money.</w:t>
      </w:r>
    </w:p>
    <w:p>
      <w:pPr>
        <w:pStyle w:val="Normal"/>
        <w:spacing w:lineRule="exact" w:line="240" w:before="240" w:after="0"/>
        <w:ind w:start="720" w:end="0"/>
        <w:jc w:val="both"/>
        <w:rPr/>
      </w:pPr>
      <w:r>
        <w:rPr>
          <w:color w:val="000000"/>
          <w:sz w:val="22"/>
          <w:szCs w:val="22"/>
        </w:rPr>
        <w:t xml:space="preserve">(iv) </w:t>
        <w:tab/>
      </w:r>
      <w:r>
        <w:rPr>
          <w:b/>
          <w:bCs/>
          <w:color w:val="000000"/>
          <w:sz w:val="22"/>
          <w:szCs w:val="22"/>
        </w:rPr>
        <w:t>“Threshold Amount”</w:t>
      </w:r>
      <w:r>
        <w:rPr>
          <w:color w:val="000000"/>
          <w:sz w:val="22"/>
          <w:szCs w:val="22"/>
        </w:rPr>
        <w:t xml:space="preserve"> means, with respect to Party A and any Specified Entity of Party A, U.S. $150,000,000 (or its equivalent in another currency); with respect to Party A’s Credit Support Provider, U.S. $150,000,000 (or its equivalent in another currency) and, with respect to Party B, U.S. $120,000,000 (or its equivalent in another currency);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color w:val="000000"/>
          <w:sz w:val="22"/>
          <w:szCs w:val="22"/>
        </w:rPr>
        <w:t>(d)</w:t>
        <w:tab/>
        <w:t xml:space="preserve">The </w:t>
      </w:r>
      <w:r>
        <w:rPr>
          <w:b/>
          <w:bCs/>
          <w:color w:val="000000"/>
          <w:sz w:val="22"/>
          <w:szCs w:val="22"/>
        </w:rPr>
        <w:t>“Credit Event Upon Merger”</w:t>
      </w:r>
      <w:r>
        <w:rPr>
          <w:color w:val="000000"/>
          <w:sz w:val="22"/>
          <w:szCs w:val="22"/>
        </w:rPr>
        <w:t xml:space="preserve"> provisions of Section 5(b)(iv) as amended below will apply to Party A and to Party B and to any Credit Support Provider or Specified Entity of Party A or Party B.  Section 5(b)(iv) is hereby amended by adding the following phrase between the closing parenthesis and the semicolon at the end thereof: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w:t>
      </w:r>
    </w:p>
    <w:p>
      <w:pPr>
        <w:pStyle w:val="Normal"/>
        <w:spacing w:lineRule="exact" w:line="240" w:before="240" w:after="0"/>
        <w:ind w:start="1440" w:end="0"/>
        <w:jc w:val="both"/>
        <w:rPr/>
      </w:pPr>
      <w:r>
        <w:rPr>
          <w:color w:val="000000"/>
          <w:sz w:val="22"/>
          <w:szCs w:val="22"/>
        </w:rPr>
        <w:t xml:space="preserve">I.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reasonable discretion.  If such Eligible Credit Support is provided, it shall be in addition to Eligible Credit Support required under the ISDA Credit Support Annex attached hereto as </w:t>
      </w:r>
      <w:r>
        <w:rPr>
          <w:color w:val="000000"/>
          <w:sz w:val="22"/>
          <w:szCs w:val="22"/>
          <w:u w:val="single"/>
        </w:rPr>
        <w:t>Annex A</w:t>
      </w:r>
      <w:r>
        <w:rPr>
          <w:color w:val="000000"/>
          <w:sz w:val="22"/>
          <w:szCs w:val="22"/>
        </w:rPr>
        <w:t xml:space="preserve">, but it shall be otherwise administered under </w:t>
      </w:r>
      <w:r>
        <w:rPr>
          <w:color w:val="000000"/>
          <w:sz w:val="22"/>
          <w:szCs w:val="22"/>
          <w:u w:val="single"/>
        </w:rPr>
        <w:t>Annex A</w:t>
      </w:r>
      <w:r>
        <w:rPr>
          <w:color w:val="000000"/>
          <w:sz w:val="22"/>
          <w:szCs w:val="22"/>
        </w:rPr>
        <w:t>; and</w:t>
      </w:r>
    </w:p>
    <w:p>
      <w:pPr>
        <w:pStyle w:val="Normal"/>
        <w:spacing w:lineRule="exact" w:line="240"/>
        <w:ind w:start="1440" w:end="0"/>
        <w:jc w:val="both"/>
        <w:rPr>
          <w:color w:val="000000"/>
          <w:sz w:val="22"/>
          <w:szCs w:val="22"/>
        </w:rPr>
      </w:pPr>
      <w:r>
        <w:rPr>
          <w:color w:val="000000"/>
          <w:sz w:val="22"/>
          <w:szCs w:val="22"/>
        </w:rPr>
      </w:r>
    </w:p>
    <w:p>
      <w:pPr>
        <w:pStyle w:val="Normal"/>
        <w:spacing w:lineRule="exact" w:line="240"/>
        <w:ind w:start="1440" w:end="0"/>
        <w:jc w:val="both"/>
        <w:rPr/>
      </w:pPr>
      <w:r>
        <w:rPr>
          <w:color w:val="000000"/>
          <w:sz w:val="22"/>
          <w:szCs w:val="22"/>
        </w:rPr>
        <w:t xml:space="preserve">II.  </w:t>
      </w:r>
      <w:r>
        <w:rPr>
          <w:sz w:val="22"/>
        </w:rPr>
        <w:t xml:space="preserve">the phrase “materially weaker” means (i) the Credit Rating (as defined in </w:t>
      </w:r>
      <w:r>
        <w:rPr>
          <w:sz w:val="22"/>
          <w:u w:val="single"/>
        </w:rPr>
        <w:t xml:space="preserve">Annex </w:t>
      </w:r>
      <w:r>
        <w:rPr>
          <w:sz w:val="22"/>
        </w:rPr>
        <w:t xml:space="preserve">A) of the resulting, surviving or transferee entity is (A) rated below BBB- by S&amp;P (as defined in </w:t>
      </w:r>
      <w:r>
        <w:rPr>
          <w:sz w:val="22"/>
          <w:u w:val="single"/>
        </w:rPr>
        <w:t>Annex A</w:t>
      </w:r>
      <w:r>
        <w:rPr>
          <w:sz w:val="22"/>
        </w:rPr>
        <w:t xml:space="preserve">) or below Baa3 by Moody’s (as defined in </w:t>
      </w:r>
      <w:r>
        <w:rPr>
          <w:sz w:val="22"/>
          <w:u w:val="single"/>
        </w:rPr>
        <w:t>Annex A</w:t>
      </w:r>
      <w:r>
        <w:rPr>
          <w:sz w:val="22"/>
        </w:rPr>
        <w:t>) with respect to Party A or (B) rated below BBB by</w:t>
      </w:r>
      <w:r>
        <w:rPr>
          <w:b/>
          <w:i/>
          <w:sz w:val="22"/>
        </w:rPr>
        <w:t xml:space="preserve"> </w:t>
      </w:r>
      <w:r>
        <w:rPr>
          <w:sz w:val="22"/>
        </w:rPr>
        <w:t xml:space="preserve">DBRS (as defined in </w:t>
      </w:r>
      <w:r>
        <w:rPr>
          <w:sz w:val="22"/>
          <w:u w:val="single"/>
        </w:rPr>
        <w:t>Annex A</w:t>
      </w:r>
      <w:r>
        <w:rPr>
          <w:sz w:val="22"/>
        </w:rPr>
        <w:t>) with respect to Party B, or (ii) in the event there are no such ratings by S&amp;P, Moody’s or DBRS, the Policies (as defined below) in effect at the time, of the party which is not the Affected Party, would lead such non-Affected Party, solely as a result of a change in the nature, character, identity, operations, business, financial or asset profile, or condition of the Affected Party from its state (as a party to the Agreement) prior to such consolidation, amalgamation, merger or transfer, to decline to make an extension of credit to, or enter into a Transaction with, the resulting, surviving or transferee entity.  For purposes of this definition, “Policies” means a party’s (1) internal credit limits applicable to entities or groups,  (2) other limits on doing business with entities domiciled in certain jurisdictions or engaging in certain activities or combinations thereof, or (3) internal restrictions on doing business with entities with whom such party has had prior adverse business relations.”</w:t>
      </w:r>
      <w:r>
        <w:rPr>
          <w:color w:val="000000"/>
          <w:sz w:val="22"/>
        </w:rPr>
        <w:t xml:space="preserve">  </w:t>
      </w:r>
    </w:p>
    <w:p>
      <w:pPr>
        <w:pStyle w:val="Normal"/>
        <w:spacing w:lineRule="exact" w:line="240" w:before="240" w:after="0"/>
        <w:ind w:firstLine="720" w:end="0"/>
        <w:jc w:val="both"/>
        <w:rPr/>
      </w:pPr>
      <w:r>
        <w:rPr>
          <w:color w:val="000000"/>
          <w:sz w:val="22"/>
          <w:szCs w:val="22"/>
        </w:rPr>
        <w:t>(e)</w:t>
        <w:tab/>
        <w:t xml:space="preserve">The </w:t>
      </w:r>
      <w:r>
        <w:rPr>
          <w:b/>
          <w:bCs/>
          <w:color w:val="000000"/>
          <w:sz w:val="22"/>
          <w:szCs w:val="22"/>
        </w:rPr>
        <w:t>“Automatic Early Termination”</w:t>
      </w:r>
      <w:r>
        <w:rPr>
          <w:color w:val="000000"/>
          <w:sz w:val="22"/>
          <w:szCs w:val="22"/>
        </w:rPr>
        <w:t xml:space="preserve"> provision of Section 6(a) will not apply to Party A or to Party B.</w:t>
      </w:r>
    </w:p>
    <w:p>
      <w:pPr>
        <w:pStyle w:val="Normal"/>
        <w:spacing w:lineRule="exact" w:line="240" w:before="240" w:after="0"/>
        <w:ind w:firstLine="720" w:end="0"/>
        <w:jc w:val="both"/>
        <w:rPr/>
      </w:pPr>
      <w:r>
        <w:rPr>
          <w:color w:val="000000"/>
          <w:sz w:val="22"/>
          <w:szCs w:val="22"/>
        </w:rPr>
        <w:t>(f)</w:t>
        <w:tab/>
      </w:r>
      <w:r>
        <w:rPr>
          <w:b/>
          <w:bCs/>
          <w:color w:val="000000"/>
          <w:sz w:val="22"/>
          <w:szCs w:val="22"/>
        </w:rPr>
        <w:t>Payments on Early Termination.</w:t>
      </w:r>
      <w:r>
        <w:rPr>
          <w:color w:val="000000"/>
          <w:sz w:val="22"/>
          <w:szCs w:val="22"/>
        </w:rPr>
        <w:t xml:space="preserve">  For the purpose of Section 6(e):  (i) Loss will apply, and (ii) the Second Method will apply.</w:t>
      </w:r>
    </w:p>
    <w:p>
      <w:pPr>
        <w:pStyle w:val="Normal"/>
        <w:spacing w:lineRule="exact" w:line="240" w:before="240" w:after="0"/>
        <w:ind w:firstLine="720" w:end="0"/>
        <w:jc w:val="both"/>
        <w:rPr>
          <w:color w:val="000000"/>
          <w:sz w:val="22"/>
          <w:szCs w:val="22"/>
        </w:rPr>
      </w:pPr>
      <w:r>
        <w:rPr>
          <w:color w:val="000000"/>
          <w:sz w:val="22"/>
          <w:szCs w:val="22"/>
        </w:rPr>
      </w:r>
    </w:p>
    <w:p>
      <w:pPr>
        <w:pStyle w:val="Normal"/>
        <w:spacing w:lineRule="exact" w:line="240"/>
        <w:ind w:firstLine="720" w:end="0"/>
        <w:jc w:val="both"/>
        <w:rPr/>
      </w:pPr>
      <w:r>
        <w:rPr>
          <w:color w:val="000000"/>
          <w:sz w:val="22"/>
          <w:szCs w:val="22"/>
        </w:rPr>
        <w:t>(g)</w:t>
        <w:tab/>
      </w:r>
      <w:r>
        <w:rPr>
          <w:b/>
          <w:bCs/>
          <w:color w:val="000000"/>
          <w:sz w:val="22"/>
          <w:szCs w:val="22"/>
        </w:rPr>
        <w:t>“Termination Currency”</w:t>
      </w:r>
      <w:r>
        <w:rPr>
          <w:color w:val="000000"/>
          <w:sz w:val="22"/>
        </w:rPr>
        <w:t xml:space="preserve"> </w:t>
      </w:r>
      <w:r>
        <w:rPr>
          <w:sz w:val="22"/>
        </w:rPr>
        <w:t xml:space="preserve">shall be </w:t>
      </w:r>
      <w:r>
        <w:rPr>
          <w:color w:val="000000"/>
          <w:sz w:val="22"/>
        </w:rPr>
        <w:t>United States Dollars.</w:t>
      </w:r>
    </w:p>
    <w:p>
      <w:pPr>
        <w:pStyle w:val="Normal"/>
        <w:spacing w:lineRule="exact" w:line="240" w:before="240" w:after="0"/>
        <w:ind w:firstLine="720" w:end="0"/>
        <w:jc w:val="both"/>
        <w:rPr>
          <w:color w:val="000000"/>
        </w:rPr>
      </w:pPr>
      <w:r>
        <w:rPr>
          <w:color w:val="000000"/>
          <w:sz w:val="22"/>
          <w:szCs w:val="22"/>
        </w:rPr>
        <w:t>(h)</w:t>
        <w:tab/>
      </w:r>
      <w:r>
        <w:rPr>
          <w:b/>
          <w:bCs/>
          <w:color w:val="000000"/>
          <w:sz w:val="22"/>
          <w:szCs w:val="22"/>
        </w:rPr>
        <w:t>“Contractual Currency”</w:t>
      </w:r>
      <w:r>
        <w:rPr>
          <w:color w:val="000000"/>
          <w:sz w:val="22"/>
          <w:szCs w:val="22"/>
        </w:rPr>
        <w:t>, unless otherwise agreed to in a Transaction, shall mean Canadian Dollars.</w:t>
      </w:r>
    </w:p>
    <w:p>
      <w:pPr>
        <w:pStyle w:val="Normal"/>
        <w:spacing w:lineRule="exact" w:line="240" w:before="480" w:after="0"/>
        <w:jc w:val="both"/>
        <w:rPr>
          <w:b/>
          <w:bCs/>
          <w:color w:val="000000"/>
          <w:sz w:val="22"/>
          <w:szCs w:val="22"/>
        </w:rPr>
      </w:pPr>
      <w:r>
        <w:rPr>
          <w:b/>
          <w:bCs/>
          <w:color w:val="000000"/>
          <w:sz w:val="22"/>
          <w:szCs w:val="22"/>
        </w:rPr>
        <w:t>Part 2.  Tax Representations.</w:t>
      </w:r>
    </w:p>
    <w:p>
      <w:pPr>
        <w:pStyle w:val="Normal"/>
        <w:spacing w:lineRule="exact" w:line="240" w:before="480" w:after="0"/>
        <w:jc w:val="both"/>
        <w:rPr/>
      </w:pPr>
      <w:r>
        <w:rPr>
          <w:b/>
          <w:bCs/>
          <w:color w:val="000000"/>
          <w:sz w:val="22"/>
          <w:szCs w:val="22"/>
        </w:rPr>
        <w:t xml:space="preserve">Payer and Payee Representations.  </w:t>
      </w:r>
      <w:r>
        <w:rPr>
          <w:color w:val="000000"/>
          <w:sz w:val="22"/>
          <w:szCs w:val="22"/>
        </w:rPr>
        <w:t>For purposes of Sections 3(e) and (f), Party A and Party B make the following representations:</w:t>
      </w:r>
    </w:p>
    <w:p>
      <w:pPr>
        <w:pStyle w:val="Normal"/>
        <w:spacing w:lineRule="exact" w:line="240" w:before="240" w:after="0"/>
        <w:jc w:val="both"/>
        <w:rPr>
          <w:sz w:val="22"/>
          <w:szCs w:val="22"/>
        </w:rPr>
      </w:pPr>
      <w:r>
        <w:rPr>
          <w:sz w:val="22"/>
          <w:szCs w:val="22"/>
        </w:rPr>
        <w:t>(1) It is a resident of Canada for purposes of the Income Tax Act (Canada) and as such the other party is not required by any applicable law or authority to withhold or deduct for taxes any amount from such other party’s payments due hereunder, (2) during the term hereof, it will not be doing business in any jurisdiction that imposes any withholding tax or similar levy on any payment made or received by it under this Agreement, and (3) upon reasonable demand by such other party, it will deliver to the other party (or such government or taxing authority as the other party reasonably directs) any form or document, completed accurately and satisfactorily, that may be required or reasonably requested in writing in order to allow such other party to make a payment hereunder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w:t>
      </w:r>
    </w:p>
    <w:p>
      <w:pPr>
        <w:pStyle w:val="Normal"/>
        <w:spacing w:lineRule="exact" w:line="240" w:before="480" w:after="0"/>
        <w:jc w:val="both"/>
        <w:rPr>
          <w:color w:val="000000"/>
          <w:sz w:val="22"/>
          <w:szCs w:val="22"/>
        </w:rPr>
      </w:pPr>
      <w:r>
        <w:rPr>
          <w:b/>
          <w:bCs/>
          <w:color w:val="000000"/>
          <w:sz w:val="22"/>
          <w:szCs w:val="22"/>
        </w:rPr>
        <w:t>Part 3.  Agreement to Deliver Documents.</w:t>
      </w:r>
    </w:p>
    <w:p>
      <w:pPr>
        <w:pStyle w:val="Normal"/>
        <w:spacing w:lineRule="exact" w:line="240" w:before="240" w:after="0"/>
        <w:ind w:firstLine="720" w:end="0"/>
        <w:jc w:val="both"/>
        <w:rPr/>
      </w:pPr>
      <w:r>
        <w:rPr/>
        <w:t>For the purpose of Section 4(a), each party agrees to deliver the following documents, as applicable:</w:t>
      </w:r>
    </w:p>
    <w:tbl>
      <w:tblPr>
        <w:tblW w:w="9936" w:type="dxa"/>
        <w:jc w:val="start"/>
        <w:tblInd w:w="0" w:type="dxa"/>
        <w:tblLayout w:type="fixed"/>
        <w:tblCellMar>
          <w:top w:w="0" w:type="dxa"/>
          <w:start w:w="216" w:type="dxa"/>
          <w:bottom w:w="0" w:type="dxa"/>
          <w:end w:w="216" w:type="dxa"/>
        </w:tblCellMar>
      </w:tblPr>
      <w:tblGrid>
        <w:gridCol w:w="1836"/>
        <w:gridCol w:w="3870"/>
        <w:gridCol w:w="16"/>
        <w:gridCol w:w="2228"/>
        <w:gridCol w:w="96"/>
        <w:gridCol w:w="1890"/>
      </w:tblGrid>
      <w:tr>
        <w:trPr>
          <w:tblHeader w:val="true"/>
        </w:trPr>
        <w:tc>
          <w:tcPr>
            <w:tcW w:w="1836" w:type="dxa"/>
            <w:tcBorders/>
            <w:vAlign w:val="bottom"/>
          </w:tcPr>
          <w:p>
            <w:pPr>
              <w:pStyle w:val="Normal"/>
              <w:spacing w:lineRule="atLeast" w:line="240" w:before="240" w:after="0"/>
              <w:rPr>
                <w:color w:val="000000"/>
                <w:sz w:val="22"/>
                <w:szCs w:val="22"/>
              </w:rPr>
            </w:pPr>
            <w:r>
              <w:rPr>
                <w:b/>
                <w:bCs/>
                <w:color w:val="000000"/>
                <w:sz w:val="22"/>
                <w:szCs w:val="22"/>
              </w:rPr>
              <w:t xml:space="preserve">Party required to deliver </w:t>
            </w:r>
            <w:r>
              <w:rPr>
                <w:b/>
                <w:bCs/>
                <w:color w:val="000000"/>
                <w:sz w:val="22"/>
                <w:szCs w:val="22"/>
                <w:u w:val="single"/>
              </w:rPr>
              <w:t>document</w:t>
            </w:r>
          </w:p>
        </w:tc>
        <w:tc>
          <w:tcPr>
            <w:tcW w:w="3886" w:type="dxa"/>
            <w:gridSpan w:val="2"/>
            <w:tcBorders/>
            <w:vAlign w:val="bottom"/>
          </w:tcPr>
          <w:p>
            <w:pPr>
              <w:pStyle w:val="Normal"/>
              <w:spacing w:lineRule="atLeast" w:line="240" w:before="240" w:after="0"/>
              <w:rPr>
                <w:color w:val="000000"/>
                <w:sz w:val="22"/>
                <w:szCs w:val="22"/>
                <w:u w:val="single"/>
              </w:rPr>
            </w:pPr>
            <w:r>
              <w:rPr>
                <w:b/>
                <w:bCs/>
                <w:color w:val="000000"/>
                <w:sz w:val="22"/>
                <w:szCs w:val="22"/>
                <w:u w:val="single"/>
              </w:rPr>
              <w:t>Form/Document/Certificate</w:t>
            </w:r>
          </w:p>
        </w:tc>
        <w:tc>
          <w:tcPr>
            <w:tcW w:w="2228" w:type="dxa"/>
            <w:tcBorders/>
            <w:vAlign w:val="bottom"/>
          </w:tcPr>
          <w:p>
            <w:pPr>
              <w:pStyle w:val="Normal"/>
              <w:spacing w:lineRule="atLeast" w:line="240" w:before="240" w:after="0"/>
              <w:rPr>
                <w:color w:val="000000"/>
                <w:sz w:val="22"/>
                <w:szCs w:val="22"/>
              </w:rPr>
            </w:pPr>
            <w:r>
              <w:rPr>
                <w:b/>
                <w:bCs/>
                <w:color w:val="000000"/>
                <w:sz w:val="22"/>
                <w:szCs w:val="22"/>
              </w:rPr>
              <w:t xml:space="preserve">Date by which to </w:t>
            </w:r>
            <w:r>
              <w:rPr>
                <w:b/>
                <w:bCs/>
                <w:color w:val="000000"/>
                <w:sz w:val="22"/>
                <w:szCs w:val="22"/>
                <w:u w:val="single"/>
              </w:rPr>
              <w:t>be delivered</w:t>
            </w:r>
          </w:p>
        </w:tc>
        <w:tc>
          <w:tcPr>
            <w:tcW w:w="1986" w:type="dxa"/>
            <w:gridSpan w:val="2"/>
            <w:tcBorders/>
            <w:vAlign w:val="bottom"/>
          </w:tcPr>
          <w:p>
            <w:pPr>
              <w:pStyle w:val="Normal"/>
              <w:spacing w:lineRule="atLeast" w:line="240" w:before="240" w:after="0"/>
              <w:jc w:val="center"/>
              <w:rPr>
                <w:color w:val="000000"/>
                <w:sz w:val="22"/>
                <w:szCs w:val="22"/>
              </w:rPr>
            </w:pPr>
            <w:r>
              <w:rPr>
                <w:b/>
                <w:bCs/>
                <w:color w:val="000000"/>
                <w:sz w:val="22"/>
                <w:szCs w:val="22"/>
              </w:rPr>
              <w:t xml:space="preserve">Covered by Section 3(d) </w:t>
            </w:r>
            <w:r>
              <w:rPr>
                <w:b/>
                <w:bCs/>
                <w:color w:val="000000"/>
                <w:sz w:val="22"/>
                <w:szCs w:val="22"/>
                <w:u w:val="single"/>
              </w:rPr>
              <w:t>Representation</w:t>
            </w:r>
          </w:p>
        </w:tc>
      </w:tr>
      <w:tr>
        <w:trPr/>
        <w:tc>
          <w:tcPr>
            <w:tcW w:w="1836" w:type="dxa"/>
            <w:tcBorders/>
          </w:tcPr>
          <w:p>
            <w:pPr>
              <w:pStyle w:val="Normal"/>
              <w:spacing w:lineRule="atLeast" w:line="240" w:before="240" w:after="0"/>
              <w:jc w:val="both"/>
              <w:rPr>
                <w:b/>
                <w:bCs/>
                <w:color w:val="000000"/>
                <w:sz w:val="22"/>
                <w:szCs w:val="22"/>
              </w:rPr>
            </w:pPr>
            <w:r>
              <w:rPr>
                <w:color w:val="000000"/>
                <w:sz w:val="22"/>
                <w:szCs w:val="22"/>
              </w:rPr>
              <w:t>Party A</w:t>
            </w:r>
          </w:p>
        </w:tc>
        <w:tc>
          <w:tcPr>
            <w:tcW w:w="3886" w:type="dxa"/>
            <w:gridSpan w:val="2"/>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Duly executed Credit Support Document specified in Part 4(d)</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6" w:type="dxa"/>
            <w:gridSpan w:val="2"/>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6" w:type="dxa"/>
            <w:tcBorders/>
          </w:tcPr>
          <w:p>
            <w:pPr>
              <w:pStyle w:val="Normal"/>
              <w:spacing w:lineRule="atLeast" w:line="240" w:before="240" w:after="0"/>
              <w:jc w:val="both"/>
              <w:rPr>
                <w:color w:val="000000"/>
                <w:sz w:val="22"/>
                <w:szCs w:val="22"/>
              </w:rPr>
            </w:pPr>
            <w:r>
              <w:rPr>
                <w:color w:val="000000"/>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Duly executed tax forms, documents, or certificates referenced in Part 3(a) above</w:t>
            </w:r>
          </w:p>
        </w:tc>
        <w:tc>
          <w:tcPr>
            <w:tcW w:w="2228" w:type="dxa"/>
            <w:tcBorders/>
          </w:tcPr>
          <w:p>
            <w:pPr>
              <w:pStyle w:val="Normal"/>
              <w:spacing w:lineRule="atLeast" w:line="240" w:before="240" w:after="0"/>
              <w:jc w:val="both"/>
              <w:rPr>
                <w:color w:val="000000"/>
                <w:sz w:val="22"/>
                <w:szCs w:val="22"/>
              </w:rPr>
            </w:pPr>
            <w:r>
              <w:rPr>
                <w:color w:val="000000"/>
                <w:sz w:val="22"/>
                <w:szCs w:val="22"/>
              </w:rPr>
              <w:t>as provided in Part 3(a) above</w:t>
            </w:r>
          </w:p>
        </w:tc>
        <w:tc>
          <w:tcPr>
            <w:tcW w:w="1986" w:type="dxa"/>
            <w:gridSpan w:val="2"/>
            <w:tcBorders/>
          </w:tcPr>
          <w:p>
            <w:pPr>
              <w:pStyle w:val="Justified"/>
              <w:widowControl/>
              <w:spacing w:lineRule="atLeast" w:line="240" w:before="240" w:after="0"/>
              <w:jc w:val="center"/>
              <w:rPr>
                <w:rFonts w:ascii="Times New Roman" w:hAnsi="Times New Roman" w:cs="Times New Roman"/>
                <w:color w:val="000000"/>
              </w:rPr>
            </w:pPr>
            <w:r>
              <w:rPr>
                <w:rFonts w:cs="Times New Roman" w:ascii="Times New Roman" w:hAnsi="Times New Roman"/>
                <w:color w:val="000000"/>
              </w:rPr>
              <w:t>Yes</w:t>
            </w:r>
          </w:p>
        </w:tc>
      </w:tr>
      <w:tr>
        <w:trPr/>
        <w:tc>
          <w:tcPr>
            <w:tcW w:w="1836" w:type="dxa"/>
            <w:tcBorders/>
          </w:tcPr>
          <w:p>
            <w:pPr>
              <w:pStyle w:val="Normal"/>
              <w:spacing w:lineRule="atLeast" w:line="240" w:before="240" w:after="0"/>
              <w:jc w:val="both"/>
              <w:rPr>
                <w:color w:val="000000"/>
                <w:sz w:val="22"/>
                <w:szCs w:val="22"/>
              </w:rPr>
            </w:pPr>
            <w:r>
              <w:rPr>
                <w:color w:val="000000"/>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Such proof of the names, true signatures and authority of persons signing this Agreement or any Credit Support Document on behalf of such party or its Credit Support Provider, if any, as applicable, and of the authority of a party to this Agreement to enter into derivative transactions, as the other party may reasonably request</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6" w:type="dxa"/>
            <w:gridSpan w:val="2"/>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6"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gridSpan w:val="2"/>
            <w:tcBorders/>
          </w:tcPr>
          <w:p>
            <w:pPr>
              <w:pStyle w:val="Normal"/>
              <w:spacing w:lineRule="atLeast" w:line="240" w:before="240" w:after="0"/>
              <w:jc w:val="both"/>
              <w:rPr>
                <w:b/>
                <w:bCs/>
                <w:color w:val="000000"/>
                <w:sz w:val="22"/>
                <w:szCs w:val="22"/>
              </w:rPr>
            </w:pPr>
            <w:r>
              <w:rPr>
                <w:color w:val="000000"/>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color w:val="000000"/>
              </w:rPr>
            </w:pPr>
            <w:r>
              <w:rPr>
                <w:rFonts w:cs="Times New Roman" w:ascii="Times New Roman" w:hAnsi="Times New Roman"/>
                <w:color w:val="000000"/>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6" w:type="dxa"/>
            <w:gridSpan w:val="2"/>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6"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gridSpan w:val="2"/>
            <w:tcBorders/>
          </w:tcPr>
          <w:p>
            <w:pPr>
              <w:pStyle w:val="Normal"/>
              <w:spacing w:lineRule="atLeast" w:line="240" w:before="240" w:after="0"/>
              <w:jc w:val="both"/>
              <w:rPr>
                <w:b/>
                <w:bCs/>
                <w:color w:val="000000"/>
                <w:sz w:val="22"/>
                <w:szCs w:val="22"/>
              </w:rPr>
            </w:pPr>
            <w:r>
              <w:rPr>
                <w:color w:val="000000"/>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color w:val="000000"/>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color w:val="000000"/>
              </w:rPr>
              <w:t xml:space="preserve"> </w:t>
            </w:r>
          </w:p>
        </w:tc>
        <w:tc>
          <w:tcPr>
            <w:tcW w:w="1986" w:type="dxa"/>
            <w:gridSpan w:val="2"/>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6"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Party B</w:t>
            </w:r>
          </w:p>
        </w:tc>
        <w:tc>
          <w:tcPr>
            <w:tcW w:w="3886" w:type="dxa"/>
            <w:gridSpan w:val="2"/>
            <w:tcBorders/>
          </w:tcPr>
          <w:p>
            <w:pPr>
              <w:pStyle w:val="Normal"/>
              <w:spacing w:lineRule="atLeast" w:line="240" w:before="240" w:after="0"/>
              <w:jc w:val="both"/>
              <w:rPr>
                <w:color w:val="000000"/>
                <w:sz w:val="22"/>
                <w:szCs w:val="22"/>
              </w:rPr>
            </w:pPr>
            <w:r>
              <w:rPr>
                <w:color w:val="000000"/>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color w:val="000000"/>
              </w:rPr>
            </w:pPr>
            <w:r>
              <w:rPr>
                <w:rFonts w:cs="Times New Roman" w:ascii="Times New Roman" w:hAnsi="Times New Roman"/>
                <w:color w:val="000000"/>
              </w:rPr>
              <w:t>Promptly following demand by Party A, but in no event later than 120 days after the end of each fiscal year of Party B if such Financial Statement is not available on “SEDAR”or Party B’s home page on the World Wide Web at www.opg.com</w:t>
            </w:r>
          </w:p>
        </w:tc>
        <w:tc>
          <w:tcPr>
            <w:tcW w:w="1986" w:type="dxa"/>
            <w:gridSpan w:val="2"/>
            <w:tcBorders/>
          </w:tcPr>
          <w:p>
            <w:pPr>
              <w:pStyle w:val="Justified"/>
              <w:widowControl/>
              <w:spacing w:lineRule="atLeast" w:line="240" w:before="240" w:after="0"/>
              <w:jc w:val="center"/>
              <w:rPr>
                <w:rFonts w:ascii="Times New Roman" w:hAnsi="Times New Roman" w:cs="Times New Roman"/>
                <w:color w:val="000000"/>
              </w:rPr>
            </w:pPr>
            <w:r>
              <w:rPr>
                <w:rFonts w:cs="Times New Roman" w:ascii="Times New Roman" w:hAnsi="Times New Roman"/>
                <w:color w:val="000000"/>
              </w:rPr>
              <w:t>Yes</w:t>
            </w:r>
          </w:p>
        </w:tc>
      </w:tr>
      <w:tr>
        <w:trPr/>
        <w:tc>
          <w:tcPr>
            <w:tcW w:w="1836"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gridSpan w:val="2"/>
            <w:tcBorders/>
          </w:tcPr>
          <w:p>
            <w:pPr>
              <w:pStyle w:val="Normal"/>
              <w:spacing w:lineRule="atLeast" w:line="240" w:before="240" w:after="0"/>
              <w:jc w:val="both"/>
              <w:rPr>
                <w:color w:val="000000"/>
                <w:sz w:val="22"/>
                <w:szCs w:val="22"/>
              </w:rPr>
            </w:pPr>
            <w:r>
              <w:rPr>
                <w:color w:val="000000"/>
                <w:sz w:val="22"/>
                <w:szCs w:val="22"/>
              </w:rPr>
              <w:t>Quarterly Unaudited Consolidated Financial Statement of Party B</w:t>
            </w:r>
          </w:p>
        </w:tc>
        <w:tc>
          <w:tcPr>
            <w:tcW w:w="2228" w:type="dxa"/>
            <w:tcBorders/>
          </w:tcPr>
          <w:p>
            <w:pPr>
              <w:pStyle w:val="Normal"/>
              <w:spacing w:lineRule="atLeast" w:line="240" w:before="240" w:after="0"/>
              <w:rPr>
                <w:color w:val="000000"/>
                <w:sz w:val="22"/>
                <w:szCs w:val="22"/>
              </w:rPr>
            </w:pPr>
            <w:r>
              <w:rPr>
                <w:color w:val="000000"/>
                <w:sz w:val="22"/>
                <w:szCs w:val="22"/>
              </w:rPr>
              <w:t>Promptly following demand by Party A, but in no event later than 60 days after the end of each of the first three fiscal quarters of each fiscal year of Party B if such Financial Statement is not available on “SEDAR”or Party B’s home page on the World Wide Web at www.opg.com</w:t>
            </w:r>
          </w:p>
        </w:tc>
        <w:tc>
          <w:tcPr>
            <w:tcW w:w="1986" w:type="dxa"/>
            <w:gridSpan w:val="2"/>
            <w:tcBorders/>
          </w:tcPr>
          <w:p>
            <w:pPr>
              <w:pStyle w:val="Normal"/>
              <w:spacing w:lineRule="atLeast" w:line="240" w:before="240" w:after="0"/>
              <w:jc w:val="center"/>
              <w:rPr>
                <w:color w:val="000000"/>
                <w:sz w:val="22"/>
                <w:szCs w:val="22"/>
              </w:rPr>
            </w:pPr>
            <w:r>
              <w:rPr>
                <w:color w:val="000000"/>
                <w:sz w:val="22"/>
                <w:szCs w:val="22"/>
              </w:rPr>
              <w:t>Yes</w:t>
            </w:r>
          </w:p>
        </w:tc>
      </w:tr>
      <w:tr>
        <w:trPr/>
        <w:tc>
          <w:tcPr>
            <w:tcW w:w="1836" w:type="dxa"/>
            <w:tcBorders/>
          </w:tcPr>
          <w:p>
            <w:pPr>
              <w:pStyle w:val="Normal"/>
              <w:spacing w:lineRule="atLeast" w:line="240" w:before="240" w:after="0"/>
              <w:jc w:val="both"/>
              <w:rPr>
                <w:color w:val="000000"/>
                <w:sz w:val="22"/>
              </w:rPr>
            </w:pPr>
            <w:r>
              <w:rPr>
                <w:color w:val="000000"/>
                <w:sz w:val="22"/>
              </w:rPr>
              <w:t>Party B</w:t>
            </w:r>
          </w:p>
        </w:tc>
        <w:tc>
          <w:tcPr>
            <w:tcW w:w="3870" w:type="dxa"/>
            <w:tcBorders/>
          </w:tcPr>
          <w:p>
            <w:pPr>
              <w:pStyle w:val="Normal"/>
              <w:spacing w:lineRule="atLeast" w:line="240" w:before="240" w:after="0"/>
              <w:rPr>
                <w:color w:val="000000"/>
                <w:sz w:val="22"/>
              </w:rPr>
            </w:pPr>
            <w:r>
              <w:rPr>
                <w:color w:val="000000"/>
                <w:sz w:val="22"/>
              </w:rPr>
              <w:t>Statement of Generic Risks Associated with Over-the-Counter Derivative Transactions (copy attached)</w:t>
            </w:r>
          </w:p>
        </w:tc>
        <w:tc>
          <w:tcPr>
            <w:tcW w:w="2340" w:type="dxa"/>
            <w:gridSpan w:val="3"/>
            <w:tcBorders/>
          </w:tcPr>
          <w:p>
            <w:pPr>
              <w:pStyle w:val="Normal"/>
              <w:spacing w:lineRule="atLeast" w:line="240" w:before="240" w:after="0"/>
              <w:rPr>
                <w:color w:val="000000"/>
                <w:sz w:val="22"/>
              </w:rPr>
            </w:pPr>
            <w:r>
              <w:rPr>
                <w:color w:val="000000"/>
                <w:sz w:val="22"/>
              </w:rPr>
              <w:t>As of the execution of this Agreement</w:t>
            </w:r>
          </w:p>
        </w:tc>
        <w:tc>
          <w:tcPr>
            <w:tcW w:w="1890" w:type="dxa"/>
            <w:tcBorders/>
          </w:tcPr>
          <w:p>
            <w:pPr>
              <w:pStyle w:val="Normal"/>
              <w:spacing w:lineRule="atLeast" w:line="240" w:before="240" w:after="0"/>
              <w:jc w:val="center"/>
              <w:rPr>
                <w:color w:val="000000"/>
                <w:sz w:val="22"/>
              </w:rPr>
            </w:pPr>
            <w:r>
              <w:rPr>
                <w:color w:val="000000"/>
                <w:sz w:val="22"/>
              </w:rPr>
              <w:t>Yes</w:t>
            </w:r>
          </w:p>
        </w:tc>
      </w:tr>
    </w:tbl>
    <w:p>
      <w:pPr>
        <w:pStyle w:val="Normal"/>
        <w:spacing w:lineRule="exact" w:line="240" w:before="480" w:after="0"/>
        <w:jc w:val="both"/>
        <w:rPr>
          <w:b/>
          <w:bCs/>
          <w:color w:val="000000"/>
          <w:sz w:val="22"/>
          <w:szCs w:val="22"/>
        </w:rPr>
      </w:pPr>
      <w:r>
        <w:rPr>
          <w:b/>
          <w:bCs/>
          <w:color w:val="000000"/>
          <w:sz w:val="22"/>
          <w:szCs w:val="22"/>
        </w:rPr>
        <w:t>Part 4.  Miscellaneous.</w:t>
      </w:r>
    </w:p>
    <w:p>
      <w:pPr>
        <w:pStyle w:val="Normal"/>
        <w:spacing w:lineRule="exact" w:line="240" w:before="240" w:after="0"/>
        <w:ind w:firstLine="720" w:end="0"/>
        <w:jc w:val="both"/>
        <w:rPr/>
      </w:pPr>
      <w:r>
        <w:rPr>
          <w:color w:val="000000"/>
          <w:sz w:val="22"/>
          <w:szCs w:val="22"/>
        </w:rPr>
        <w:t>(a)</w:t>
        <w:tab/>
      </w:r>
      <w:r>
        <w:rPr>
          <w:b/>
          <w:bCs/>
          <w:color w:val="000000"/>
          <w:sz w:val="22"/>
          <w:szCs w:val="22"/>
        </w:rPr>
        <w:t>Addresses for Notices.</w:t>
      </w:r>
      <w:r>
        <w:rPr>
          <w:color w:val="000000"/>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firstLine="720" w:end="0"/>
        <w:jc w:val="both"/>
        <w:rPr>
          <w:color w:val="000000"/>
          <w:sz w:val="22"/>
          <w:szCs w:val="22"/>
        </w:rPr>
      </w:pPr>
      <w:r>
        <w:rPr>
          <w:color w:val="000000"/>
          <w:sz w:val="22"/>
          <w:szCs w:val="22"/>
        </w:rPr>
      </w:r>
    </w:p>
    <w:p>
      <w:pPr>
        <w:pStyle w:val="Normal"/>
        <w:spacing w:lineRule="exact" w:line="240" w:before="240" w:after="0"/>
        <w:ind w:hanging="720" w:start="720" w:end="0"/>
        <w:jc w:val="both"/>
        <w:rPr>
          <w:color w:val="000000"/>
          <w:sz w:val="22"/>
          <w:szCs w:val="22"/>
        </w:rPr>
      </w:pPr>
      <w:r>
        <w:rPr>
          <w:color w:val="000000"/>
          <w:sz w:val="22"/>
          <w:szCs w:val="22"/>
        </w:rPr>
        <w:t>Address for notices or communications to Party A:</w:t>
      </w:r>
    </w:p>
    <w:p>
      <w:pPr>
        <w:pStyle w:val="Normal"/>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 xml:space="preserve">Street Address: </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(for courier delivery)</w:t>
            </w:r>
          </w:p>
          <w:p>
            <w:pPr>
              <w:pStyle w:val="Normal"/>
              <w:tabs>
                <w:tab w:val="left" w:pos="720" w:leader="none"/>
                <w:tab w:val="right" w:pos="9360" w:leader="dot"/>
              </w:tabs>
              <w:spacing w:lineRule="exact" w:line="240"/>
              <w:jc w:val="both"/>
              <w:rPr>
                <w:color w:val="000000"/>
                <w:sz w:val="22"/>
                <w:szCs w:val="22"/>
              </w:rPr>
            </w:pPr>
            <w:r>
              <w:rPr>
                <w:color w:val="000000"/>
                <w:sz w:val="22"/>
                <w:szCs w:val="22"/>
              </w:rPr>
            </w:r>
          </w:p>
        </w:tc>
        <w:tc>
          <w:tcPr>
            <w:tcW w:w="4140" w:type="dxa"/>
            <w:tcBorders/>
          </w:tcPr>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Enron Canada Corp.</w:t>
            </w:r>
          </w:p>
          <w:p>
            <w:pPr>
              <w:pStyle w:val="Normal"/>
              <w:tabs>
                <w:tab w:val="clear" w:pos="720"/>
                <w:tab w:val="left" w:pos="4230" w:leader="none"/>
                <w:tab w:val="left" w:pos="9360" w:leader="none"/>
              </w:tabs>
              <w:spacing w:lineRule="exact" w:line="240"/>
              <w:jc w:val="both"/>
              <w:rPr/>
            </w:pPr>
            <w:r>
              <w:rPr>
                <w:color w:val="000000"/>
                <w:sz w:val="22"/>
                <w:szCs w:val="22"/>
              </w:rPr>
              <w:t>400-3</w:t>
            </w:r>
            <w:r>
              <w:rPr>
                <w:color w:val="000000"/>
                <w:sz w:val="22"/>
                <w:szCs w:val="22"/>
                <w:vertAlign w:val="superscript"/>
              </w:rPr>
              <w:t>rd</w:t>
            </w:r>
            <w:r>
              <w:rPr>
                <w:color w:val="000000"/>
                <w:sz w:val="22"/>
                <w:szCs w:val="22"/>
              </w:rPr>
              <w:t xml:space="preserve"> Avenue, Suite 3500</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Calgary, Alberta   T2P 4H2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000000"/>
              </w:rPr>
            </w:pPr>
            <w:r>
              <w:rPr>
                <w:rFonts w:cs="Times New Roman" w:ascii="Times New Roman" w:hAnsi="Times New Roman"/>
                <w:color w:val="000000"/>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color w:val="000000"/>
                <w:sz w:val="22"/>
                <w:szCs w:val="22"/>
                <w:u w:val="single"/>
              </w:rPr>
            </w:pPr>
            <w:r>
              <w:rPr>
                <w:color w:val="000000"/>
                <w:sz w:val="22"/>
                <w:szCs w:val="22"/>
              </w:rPr>
              <w:t>Facsimile No.:  (713) 646-4816</w:t>
            </w:r>
          </w:p>
          <w:p>
            <w:pPr>
              <w:pStyle w:val="Normal"/>
              <w:tabs>
                <w:tab w:val="clear" w:pos="720"/>
                <w:tab w:val="left" w:pos="4230" w:leader="none"/>
                <w:tab w:val="left" w:pos="9360" w:leader="none"/>
              </w:tabs>
              <w:spacing w:lineRule="exact" w:line="240"/>
              <w:ind w:start="72" w:end="0"/>
              <w:jc w:val="both"/>
              <w:rPr>
                <w:color w:val="000000"/>
                <w:sz w:val="22"/>
                <w:szCs w:val="22"/>
              </w:rPr>
            </w:pPr>
            <w:r>
              <w:rPr>
                <w:color w:val="000000"/>
                <w:sz w:val="22"/>
                <w:szCs w:val="22"/>
              </w:rPr>
              <w:t>Telephone No.:  (713) 853-3300</w:t>
            </w:r>
          </w:p>
        </w:tc>
      </w:tr>
    </w:tbl>
    <w:p>
      <w:pPr>
        <w:pStyle w:val="Normal"/>
        <w:tabs>
          <w:tab w:val="clear" w:pos="720"/>
          <w:tab w:val="right" w:pos="9360" w:leader="dot"/>
        </w:tabs>
        <w:spacing w:lineRule="exact" w:line="240" w:before="240" w:after="0"/>
        <w:jc w:val="both"/>
        <w:rPr/>
      </w:pPr>
      <w:r>
        <w:rPr>
          <w:color w:val="000000"/>
          <w:sz w:val="22"/>
          <w:szCs w:val="22"/>
        </w:rPr>
        <w:t xml:space="preserve">A copy of any notice sent to Party A pursuant to Section 5 or 6 or </w:t>
      </w:r>
      <w:r>
        <w:rPr>
          <w:color w:val="000000"/>
          <w:sz w:val="22"/>
          <w:szCs w:val="22"/>
          <w:u w:val="single"/>
        </w:rPr>
        <w:t>Annex A</w:t>
      </w:r>
      <w:r>
        <w:rPr>
          <w:color w:val="000000"/>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color w:val="000000"/>
          <w:sz w:val="22"/>
          <w:szCs w:val="22"/>
        </w:rPr>
      </w:pPr>
      <w:r>
        <w:rPr>
          <w:color w:val="000000"/>
          <w:sz w:val="22"/>
          <w:szCs w:val="22"/>
        </w:rPr>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 xml:space="preserve">Street Address: </w:t>
            </w:r>
          </w:p>
          <w:p>
            <w:pPr>
              <w:pStyle w:val="Normal"/>
              <w:keepNext w:val="true"/>
              <w:tabs>
                <w:tab w:val="clear" w:pos="720"/>
                <w:tab w:val="left" w:pos="2880" w:leader="none"/>
                <w:tab w:val="left" w:pos="9360" w:leader="none"/>
              </w:tabs>
              <w:spacing w:lineRule="atLeast" w:line="240"/>
              <w:jc w:val="both"/>
              <w:rPr>
                <w:color w:val="000000"/>
                <w:sz w:val="22"/>
                <w:szCs w:val="22"/>
              </w:rPr>
            </w:pPr>
            <w:r>
              <w:rPr>
                <w:color w:val="000000"/>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(for courier delivery)</w:t>
            </w:r>
            <w:r>
              <w:rPr>
                <w:color w:val="000000"/>
                <w:sz w:val="22"/>
                <w:szCs w:val="22"/>
                <w:u w:val="single"/>
              </w:rPr>
              <w:t xml:space="preserve"> </w:t>
            </w:r>
          </w:p>
          <w:p>
            <w:pPr>
              <w:pStyle w:val="Normal"/>
              <w:keepNext w:val="true"/>
              <w:tabs>
                <w:tab w:val="left" w:pos="720" w:leader="none"/>
                <w:tab w:val="right" w:pos="9360" w:leader="dot"/>
              </w:tabs>
              <w:spacing w:lineRule="exact" w:line="240"/>
              <w:jc w:val="both"/>
              <w:rPr>
                <w:color w:val="000000"/>
                <w:sz w:val="22"/>
                <w:szCs w:val="22"/>
              </w:rPr>
            </w:pPr>
            <w:r>
              <w:rPr>
                <w:color w:val="000000"/>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Ontario Power Generation, Inc.</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700 University Avenue, H9C14</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Toronto, Ontario  M5G 1X6</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Attn.:  Senior Manager, Contracts</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Facsimile No.:  (416) 592-5807</w:t>
            </w:r>
          </w:p>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Telephone No.:  (416) 592-8060</w:t>
            </w:r>
          </w:p>
        </w:tc>
      </w:tr>
    </w:tbl>
    <w:p>
      <w:pPr>
        <w:pStyle w:val="Normal"/>
        <w:tabs>
          <w:tab w:val="left" w:pos="720" w:leader="none"/>
          <w:tab w:val="left" w:pos="5472" w:leader="dot"/>
          <w:tab w:val="right" w:pos="9360" w:leader="dot"/>
        </w:tabs>
        <w:spacing w:lineRule="exact" w:line="240"/>
        <w:ind w:start="720" w:end="0"/>
        <w:jc w:val="both"/>
        <w:rPr>
          <w:color w:val="000000"/>
          <w:sz w:val="22"/>
        </w:rPr>
      </w:pPr>
      <w:r>
        <w:rPr>
          <w:color w:val="000000"/>
          <w:sz w:val="22"/>
        </w:rPr>
      </w:r>
    </w:p>
    <w:p>
      <w:pPr>
        <w:pStyle w:val="Normal"/>
        <w:tabs>
          <w:tab w:val="clear" w:pos="720"/>
          <w:tab w:val="left" w:pos="360" w:leader="none"/>
          <w:tab w:val="left" w:pos="5472" w:leader="dot"/>
          <w:tab w:val="right" w:pos="9360" w:leader="dot"/>
        </w:tabs>
        <w:spacing w:lineRule="exact" w:line="240"/>
        <w:jc w:val="both"/>
        <w:rPr>
          <w:color w:val="000000"/>
          <w:sz w:val="22"/>
        </w:rPr>
      </w:pPr>
      <w:r>
        <w:rPr>
          <w:color w:val="000000"/>
          <w:sz w:val="22"/>
        </w:rPr>
        <w:t>A copy of any notice sent to Party B pursuant to Sections 5 or 6 must also be sent to each of the following:</w:t>
      </w:r>
    </w:p>
    <w:p>
      <w:pPr>
        <w:pStyle w:val="Normal"/>
        <w:tabs>
          <w:tab w:val="clear" w:pos="720"/>
          <w:tab w:val="left" w:pos="360" w:leader="none"/>
          <w:tab w:val="left" w:pos="5472" w:leader="dot"/>
          <w:tab w:val="right" w:pos="9360" w:leader="dot"/>
        </w:tabs>
        <w:spacing w:lineRule="exact" w:line="240"/>
        <w:jc w:val="both"/>
        <w:rPr>
          <w:color w:val="000000"/>
          <w:sz w:val="22"/>
        </w:rPr>
      </w:pPr>
      <w:r>
        <w:rPr>
          <w:color w:val="000000"/>
          <w:sz w:val="22"/>
        </w:rPr>
      </w:r>
    </w:p>
    <w:p>
      <w:pPr>
        <w:pStyle w:val="Normal"/>
        <w:tabs>
          <w:tab w:val="clear" w:pos="720"/>
          <w:tab w:val="left" w:pos="360" w:leader="none"/>
          <w:tab w:val="left" w:pos="5472" w:leader="dot"/>
          <w:tab w:val="right" w:pos="9360" w:leader="dot"/>
        </w:tabs>
        <w:spacing w:lineRule="exact" w:line="240"/>
        <w:jc w:val="both"/>
        <w:rPr>
          <w:color w:val="000000"/>
          <w:sz w:val="22"/>
        </w:rPr>
      </w:pPr>
      <w:r>
        <w:rPr>
          <w:color w:val="000000"/>
          <w:sz w:val="22"/>
        </w:rPr>
        <w:t>Ontario Power Generation Inc.                                            Ontario Power Generation Inc.</w:t>
      </w:r>
    </w:p>
    <w:p>
      <w:pPr>
        <w:pStyle w:val="Normal"/>
        <w:tabs>
          <w:tab w:val="clear" w:pos="720"/>
          <w:tab w:val="left" w:pos="360" w:leader="none"/>
          <w:tab w:val="left" w:pos="5472" w:leader="dot"/>
          <w:tab w:val="right" w:pos="9360" w:leader="dot"/>
        </w:tabs>
        <w:spacing w:lineRule="exact" w:line="240"/>
        <w:jc w:val="both"/>
        <w:rPr>
          <w:color w:val="000000"/>
          <w:sz w:val="22"/>
        </w:rPr>
      </w:pPr>
      <w:r>
        <w:rPr>
          <w:color w:val="000000"/>
          <w:sz w:val="22"/>
        </w:rPr>
        <w:t>700 University Ave.  H9C20                                                  700 University Ave. H18H21</w:t>
      </w:r>
    </w:p>
    <w:p>
      <w:pPr>
        <w:pStyle w:val="Normal"/>
        <w:tabs>
          <w:tab w:val="clear" w:pos="720"/>
          <w:tab w:val="left" w:pos="360" w:leader="none"/>
          <w:tab w:val="left" w:pos="5472" w:leader="dot"/>
          <w:tab w:val="right" w:pos="9360" w:leader="dot"/>
        </w:tabs>
        <w:spacing w:lineRule="exact" w:line="240"/>
        <w:jc w:val="both"/>
        <w:rPr>
          <w:color w:val="000000"/>
          <w:sz w:val="22"/>
        </w:rPr>
      </w:pPr>
      <w:r>
        <w:rPr>
          <w:color w:val="000000"/>
          <w:sz w:val="22"/>
        </w:rPr>
        <w:t>Toronto, Ontario   M5G 1X6                                                  Toronto, Ontario M5G 1X6</w:t>
      </w:r>
    </w:p>
    <w:p>
      <w:pPr>
        <w:pStyle w:val="Normal"/>
        <w:tabs>
          <w:tab w:val="clear" w:pos="720"/>
          <w:tab w:val="left" w:pos="360" w:leader="none"/>
          <w:tab w:val="left" w:pos="5472" w:leader="dot"/>
          <w:tab w:val="right" w:pos="9360" w:leader="dot"/>
        </w:tabs>
        <w:spacing w:lineRule="exact" w:line="240"/>
        <w:jc w:val="both"/>
        <w:rPr>
          <w:color w:val="000000"/>
          <w:sz w:val="22"/>
        </w:rPr>
      </w:pPr>
      <w:r>
        <w:rPr>
          <w:color w:val="000000"/>
          <w:sz w:val="22"/>
        </w:rPr>
        <w:t>Attention:  Manager-Credit                                                    Attention:  Vice President-Treasurer</w:t>
      </w:r>
    </w:p>
    <w:p>
      <w:pPr>
        <w:pStyle w:val="Normal"/>
        <w:tabs>
          <w:tab w:val="clear" w:pos="720"/>
          <w:tab w:val="left" w:pos="360" w:leader="none"/>
          <w:tab w:val="left" w:pos="5472" w:leader="dot"/>
          <w:tab w:val="right" w:pos="9360" w:leader="dot"/>
        </w:tabs>
        <w:spacing w:lineRule="exact" w:line="240"/>
        <w:jc w:val="both"/>
        <w:rPr>
          <w:color w:val="000000"/>
          <w:sz w:val="22"/>
        </w:rPr>
      </w:pPr>
      <w:r>
        <w:rPr>
          <w:color w:val="000000"/>
          <w:sz w:val="22"/>
        </w:rPr>
        <w:t>Phone No.:  (416) 592-8060                                                   Phone No.:  (416) 592-7654</w:t>
      </w:r>
    </w:p>
    <w:p>
      <w:pPr>
        <w:pStyle w:val="Normal"/>
        <w:tabs>
          <w:tab w:val="clear" w:pos="720"/>
          <w:tab w:val="left" w:pos="360" w:leader="none"/>
          <w:tab w:val="left" w:pos="5472" w:leader="dot"/>
          <w:tab w:val="right" w:pos="9360" w:leader="dot"/>
        </w:tabs>
        <w:spacing w:lineRule="exact" w:line="240"/>
        <w:jc w:val="both"/>
        <w:rPr>
          <w:color w:val="000000"/>
          <w:sz w:val="22"/>
        </w:rPr>
      </w:pPr>
      <w:r>
        <w:rPr>
          <w:color w:val="000000"/>
          <w:sz w:val="22"/>
        </w:rPr>
        <w:t>Facsimile No.:  (416) 592-8335                                               Facsimile No.:  (416) 592-4775</w:t>
      </w:r>
    </w:p>
    <w:p>
      <w:pPr>
        <w:pStyle w:val="Normal"/>
        <w:tabs>
          <w:tab w:val="clear" w:pos="720"/>
          <w:tab w:val="left" w:pos="0" w:leader="none"/>
          <w:tab w:val="left" w:pos="5472" w:leader="dot"/>
          <w:tab w:val="right" w:pos="9360" w:leader="dot"/>
        </w:tabs>
        <w:spacing w:lineRule="exact" w:line="240"/>
        <w:jc w:val="both"/>
        <w:rPr>
          <w:color w:val="000000"/>
          <w:sz w:val="22"/>
        </w:rPr>
      </w:pPr>
      <w:r>
        <w:rPr>
          <w:color w:val="000000"/>
          <w:sz w:val="22"/>
        </w:rPr>
      </w:r>
    </w:p>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color w:val="000000"/>
          <w:sz w:val="22"/>
          <w:szCs w:val="22"/>
        </w:rPr>
        <w:t>(b)</w:t>
        <w:tab/>
      </w:r>
      <w:r>
        <w:rPr>
          <w:b/>
          <w:bCs/>
          <w:color w:val="000000"/>
          <w:sz w:val="22"/>
          <w:szCs w:val="22"/>
        </w:rPr>
        <w:t>Offices; Multibranch Parties.</w:t>
      </w:r>
      <w:r>
        <w:rPr>
          <w:color w:val="000000"/>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color w:val="000000"/>
          <w:sz w:val="22"/>
          <w:szCs w:val="22"/>
        </w:rPr>
        <w:t>(c)</w:t>
        <w:tab/>
      </w:r>
      <w:r>
        <w:rPr>
          <w:b/>
          <w:bCs/>
          <w:color w:val="000000"/>
          <w:sz w:val="22"/>
          <w:szCs w:val="22"/>
        </w:rPr>
        <w:t>Calculation Agent.</w:t>
      </w:r>
      <w:r>
        <w:rPr>
          <w:color w:val="000000"/>
          <w:sz w:val="22"/>
          <w:szCs w:val="22"/>
        </w:rPr>
        <w:t xml:space="preserve">  </w:t>
      </w:r>
      <w:r>
        <w:rPr>
          <w:color w:val="000000"/>
          <w:sz w:val="22"/>
        </w:rPr>
        <w:t xml:space="preserve">The Calculation Agent is Party A, unless otherwise agreed to with respect to a Transaction.  If </w:t>
      </w:r>
      <w:r>
        <w:rPr>
          <w:sz w:val="22"/>
        </w:rPr>
        <w:t>an Event of Default or Potential Event of Default has occurred and is continuing with respect to the party appointed to act as the Calculation Agent, the other party shall be the Calculation Agent.  All determinations by the Calculation Agent shall be made in good faith and in a commercially reasonable manner and are subject to agreement by Party A and Party B.  If the parties are unable to agree on a particular determination made by the Calculation Agent, the parties will resolve such dispute in accordance with Section 13(b) of this Agreement for Claims at or exceeding U.S.$250,000.  For Claims less than U.S.$250,000 if the parties are unable to agree on a particular determination made by the Calculation Agent, the parties will designate a mutually acceptable leading dealer in the relevant market to act as substitute calculation agent.  If the parties are unable to agree on a substitute calculation agent, the parties shall each appoint a leading dealer in the relevant market who shall together appoint a leading dealer to act as the substitute calculation agent.  The determination of the substitute calculation agent shall be binding absent manifest error.  The cost of the substitute calculation agent shall be borne equally by the parties.</w:t>
      </w:r>
    </w:p>
    <w:p>
      <w:pPr>
        <w:pStyle w:val="Normal"/>
        <w:spacing w:lineRule="exact" w:line="240" w:before="240" w:after="0"/>
        <w:ind w:firstLine="720" w:end="0"/>
        <w:jc w:val="both"/>
        <w:rPr/>
      </w:pPr>
      <w:r>
        <w:rPr>
          <w:color w:val="000000"/>
          <w:sz w:val="22"/>
          <w:szCs w:val="22"/>
        </w:rPr>
        <w:t>(d)</w:t>
        <w:tab/>
      </w:r>
      <w:r>
        <w:rPr>
          <w:b/>
          <w:bCs/>
          <w:color w:val="000000"/>
          <w:sz w:val="22"/>
          <w:szCs w:val="22"/>
        </w:rPr>
        <w:t>Credit Support Documents.</w:t>
      </w:r>
      <w:r>
        <w:rPr>
          <w:color w:val="000000"/>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of even date herewith by Enron Corp. in favor of Party B in the form attached hereto as </w:t>
      </w:r>
      <w:r>
        <w:rPr>
          <w:color w:val="000000"/>
          <w:sz w:val="22"/>
          <w:szCs w:val="22"/>
          <w:u w:val="single"/>
        </w:rPr>
        <w:t>Exhibit A</w:t>
      </w:r>
      <w:r>
        <w:rPr>
          <w:color w:val="000000"/>
          <w:sz w:val="22"/>
          <w:szCs w:val="22"/>
        </w:rPr>
        <w:t xml:space="preserve">, as amended, restated or replaced from time to time, (ii) ISDA Credit Support Annex attached hereto as </w:t>
      </w:r>
      <w:r>
        <w:rPr>
          <w:color w:val="000000"/>
          <w:sz w:val="22"/>
          <w:szCs w:val="22"/>
          <w:u w:val="single"/>
        </w:rPr>
        <w:t>Annex A</w:t>
      </w:r>
      <w:r>
        <w:rPr>
          <w:color w:val="000000"/>
          <w:sz w:val="22"/>
          <w:szCs w:val="22"/>
        </w:rPr>
        <w:t xml:space="preserve">, as amended, restated or replaced from time to time, and (iii) any Letters of Credit as defined in </w:t>
      </w:r>
      <w:r>
        <w:rPr>
          <w:color w:val="000000"/>
          <w:sz w:val="22"/>
          <w:szCs w:val="22"/>
          <w:u w:val="single"/>
        </w:rPr>
        <w:t>Annex A</w:t>
      </w:r>
      <w:r>
        <w:rPr>
          <w:color w:val="000000"/>
          <w:sz w:val="22"/>
          <w:szCs w:val="22"/>
        </w:rPr>
        <w:t>.</w:t>
      </w:r>
    </w:p>
    <w:p>
      <w:pPr>
        <w:pStyle w:val="Normal"/>
        <w:spacing w:lineRule="exact" w:line="240" w:before="240" w:after="0"/>
        <w:ind w:firstLine="720" w:end="0"/>
        <w:jc w:val="both"/>
        <w:rPr/>
      </w:pPr>
      <w:r>
        <w:rPr>
          <w:color w:val="000000"/>
          <w:sz w:val="22"/>
          <w:szCs w:val="22"/>
        </w:rPr>
        <w:t>(e)</w:t>
        <w:tab/>
      </w:r>
      <w:r>
        <w:rPr>
          <w:b/>
          <w:bCs/>
          <w:color w:val="000000"/>
          <w:sz w:val="22"/>
          <w:szCs w:val="22"/>
        </w:rPr>
        <w:t>Credit Support Provider.</w:t>
      </w:r>
      <w:r>
        <w:rPr>
          <w:color w:val="000000"/>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color w:val="000000"/>
          <w:sz w:val="22"/>
          <w:szCs w:val="22"/>
        </w:rPr>
        <w:t>(f)</w:t>
        <w:tab/>
      </w:r>
      <w:r>
        <w:rPr>
          <w:b/>
          <w:bCs/>
          <w:color w:val="000000"/>
          <w:sz w:val="22"/>
          <w:szCs w:val="22"/>
        </w:rPr>
        <w:t>Netting of Payments.</w:t>
      </w:r>
      <w:r>
        <w:rPr>
          <w:color w:val="000000"/>
          <w:sz w:val="22"/>
          <w:szCs w:val="22"/>
        </w:rPr>
        <w:t xml:space="preserve">  Section 2(c)(ii) will not apply to all Transactions.</w:t>
      </w:r>
    </w:p>
    <w:p>
      <w:pPr>
        <w:pStyle w:val="Normal"/>
        <w:spacing w:lineRule="exact" w:line="240" w:before="240" w:after="0"/>
        <w:ind w:firstLine="720" w:end="0"/>
        <w:jc w:val="both"/>
        <w:rPr/>
      </w:pPr>
      <w:r>
        <w:rPr>
          <w:color w:val="000000"/>
          <w:sz w:val="22"/>
          <w:szCs w:val="22"/>
        </w:rPr>
        <w:t>(g)</w:t>
        <w:tab/>
      </w:r>
      <w:r>
        <w:rPr>
          <w:b/>
          <w:bCs/>
          <w:color w:val="000000"/>
          <w:sz w:val="22"/>
          <w:szCs w:val="22"/>
        </w:rPr>
        <w:t>Governing Law.  This Agreement will be governed by, and construed, interpreted, and enforced in accordance with the substantive law of the Province of Ontario (without reference to its choice of law doctrine).</w:t>
      </w:r>
    </w:p>
    <w:p>
      <w:pPr>
        <w:pStyle w:val="Normal"/>
        <w:spacing w:lineRule="exact" w:line="240" w:before="240" w:after="0"/>
        <w:ind w:firstLine="720" w:end="0"/>
        <w:jc w:val="both"/>
        <w:rPr/>
      </w:pPr>
      <w:r>
        <w:rPr>
          <w:color w:val="000000"/>
          <w:sz w:val="22"/>
          <w:szCs w:val="22"/>
        </w:rPr>
        <w:t>(h)</w:t>
        <w:tab/>
      </w:r>
      <w:r>
        <w:rPr>
          <w:b/>
          <w:bCs/>
          <w:color w:val="000000"/>
          <w:sz w:val="22"/>
          <w:szCs w:val="22"/>
        </w:rPr>
        <w:t>Jurisdiction.</w:t>
      </w:r>
      <w:r>
        <w:rPr>
          <w:color w:val="000000"/>
          <w:sz w:val="22"/>
          <w:szCs w:val="22"/>
        </w:rPr>
        <w:t xml:space="preserve">  Section 13(b) is hereby deleted in its entirety and replaced with the following:</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ab/>
        <w:t>(b)</w:t>
        <w:tab/>
      </w:r>
      <w:r>
        <w:rPr>
          <w:b/>
          <w:bCs/>
          <w:color w:val="000000"/>
          <w:sz w:val="22"/>
          <w:szCs w:val="22"/>
        </w:rPr>
        <w:t>Agreement To Arbitrate:</w:t>
      </w:r>
      <w:r>
        <w:rPr>
          <w:color w:val="000000"/>
          <w:sz w:val="22"/>
          <w:szCs w:val="22"/>
        </w:rPr>
        <w:t xml:space="preserve">  Except as otherwise provided herein,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Conduct Of The Arbitration, And Authority Of The Arbitrators:</w:t>
      </w:r>
      <w:r>
        <w:rPr>
          <w:color w:val="000000"/>
          <w:sz w:val="22"/>
          <w:szCs w:val="22"/>
        </w:rPr>
        <w:t xml:space="preserve"> </w:t>
      </w:r>
      <w:r>
        <w:rPr>
          <w:i/>
          <w:iCs/>
          <w:color w:val="000000"/>
          <w:sz w:val="22"/>
          <w:szCs w:val="22"/>
        </w:rPr>
        <w:t xml:space="preserve"> </w:t>
      </w:r>
      <w:r>
        <w:rPr>
          <w:color w:val="000000"/>
          <w:sz w:val="22"/>
          <w:szCs w:val="22"/>
        </w:rPr>
        <w:t>Arbitration shall be conducted pursuant to the Arbitration Act, 1991 of Ontario, as amended and then in effect to the extent not inconsistent with the rules herein specified.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Forum For The Arbitration And Selection Of Arbitrators:</w:t>
      </w:r>
      <w:r>
        <w:rPr>
          <w:color w:val="000000"/>
          <w:sz w:val="22"/>
          <w:szCs w:val="22"/>
        </w:rPr>
        <w:t xml:space="preserve">  The arbitration proceeding shall be conducted in Toronto, Ontario or in any other mutually agreed upon location.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Confidentiality:</w:t>
      </w:r>
      <w:r>
        <w:rPr>
          <w:color w:val="000000"/>
          <w:sz w:val="22"/>
          <w:szCs w:val="22"/>
        </w:rPr>
        <w:t xml:space="preserve">  To the fullest extent permitted by law, any arbitration proceeding and the arbitrators’ award shall be maintained in confidence by the parties.</w:t>
      </w:r>
    </w:p>
    <w:p>
      <w:pPr>
        <w:pStyle w:val="Normal"/>
        <w:ind w:start="720" w:end="0"/>
        <w:jc w:val="both"/>
        <w:rPr>
          <w:color w:val="000000"/>
          <w:sz w:val="22"/>
          <w:szCs w:val="22"/>
        </w:rPr>
      </w:pPr>
      <w:r>
        <w:rPr>
          <w:color w:val="000000"/>
          <w:sz w:val="22"/>
          <w:szCs w:val="22"/>
        </w:rPr>
      </w:r>
    </w:p>
    <w:p>
      <w:pPr>
        <w:pStyle w:val="Normal"/>
        <w:tabs>
          <w:tab w:val="left" w:pos="720" w:leader="none"/>
          <w:tab w:val="left" w:pos="6840" w:leader="none"/>
          <w:tab w:val="right" w:pos="9360" w:leader="none"/>
        </w:tabs>
        <w:ind w:hanging="720" w:start="720" w:end="0"/>
        <w:jc w:val="both"/>
        <w:rPr>
          <w:color w:val="000000"/>
          <w:sz w:val="22"/>
        </w:rPr>
      </w:pPr>
      <w:r>
        <w:rPr>
          <w:sz w:val="22"/>
        </w:rPr>
        <w:t>(i)</w:t>
        <w:tab/>
      </w:r>
      <w:r>
        <w:rPr>
          <w:b/>
          <w:i/>
          <w:sz w:val="22"/>
        </w:rPr>
        <w:t>“Affiliate”</w:t>
      </w:r>
      <w:r>
        <w:rPr>
          <w:sz w:val="22"/>
        </w:rPr>
        <w:t xml:space="preserve"> will have the meaning specified in Section 14 of this Agreement, except that in the case of Party B, the term Affiliate shall not include any entity that controls, directly or indirectly, Party B or any entity directly or indirectly under common control with Party B.</w:t>
      </w:r>
    </w:p>
    <w:p>
      <w:pPr>
        <w:pStyle w:val="Normal"/>
        <w:spacing w:lineRule="exact" w:line="240" w:before="480" w:after="0"/>
        <w:jc w:val="both"/>
        <w:rPr>
          <w:b/>
          <w:bCs/>
          <w:color w:val="000000"/>
          <w:sz w:val="22"/>
          <w:szCs w:val="22"/>
        </w:rPr>
      </w:pPr>
      <w:r>
        <w:rPr>
          <w:b/>
          <w:bCs/>
          <w:color w:val="000000"/>
          <w:sz w:val="22"/>
          <w:szCs w:val="22"/>
        </w:rPr>
        <w:t>Part 5.  Other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Conditions Precedent.</w:t>
      </w:r>
      <w:r>
        <w:rPr>
          <w:color w:val="000000"/>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Header"/>
        <w:widowControl/>
        <w:tabs>
          <w:tab w:val="clear" w:pos="4320"/>
          <w:tab w:val="clear" w:pos="8640"/>
        </w:tabs>
        <w:rPr>
          <w:color w:val="000000"/>
          <w:sz w:val="22"/>
          <w:szCs w:val="22"/>
        </w:rPr>
      </w:pPr>
      <w:r>
        <w:rPr>
          <w:color w:val="000000"/>
          <w:sz w:val="22"/>
          <w:szCs w:val="22"/>
        </w:rPr>
      </w:r>
    </w:p>
    <w:p>
      <w:pPr>
        <w:pStyle w:val="Header"/>
        <w:widowControl/>
        <w:tabs>
          <w:tab w:val="clear" w:pos="4320"/>
          <w:tab w:val="clear" w:pos="8640"/>
        </w:tabs>
        <w:ind w:firstLine="720" w:end="0"/>
        <w:jc w:val="both"/>
        <w:rPr/>
      </w:pPr>
      <w:r>
        <w:rPr/>
        <w:t>(b)</w:t>
        <w:tab/>
      </w:r>
      <w:r>
        <w:rPr>
          <w:b/>
          <w:iCs/>
        </w:rPr>
        <w:t>Absence of Litigation</w:t>
      </w:r>
      <w:r>
        <w:rPr>
          <w:b/>
          <w:i/>
        </w:rPr>
        <w:t>.</w:t>
      </w:r>
      <w:r>
        <w:rPr/>
        <w:t xml:space="preserve">  Section 3(c) of this Agreement is hereby amended by: (i) adding in the second line thereof after the word “governmental” the words “,regulatory” and (ii) adding the words “in any material respect” immediately prior to the end of the section. </w:t>
      </w:r>
    </w:p>
    <w:p>
      <w:pPr>
        <w:pStyle w:val="Header"/>
        <w:widowControl/>
        <w:tabs>
          <w:tab w:val="clear" w:pos="4320"/>
          <w:tab w:val="clear" w:pos="8640"/>
        </w:tabs>
        <w:rPr/>
      </w:pPr>
      <w:r>
        <w:rPr/>
      </w:r>
    </w:p>
    <w:p>
      <w:pPr>
        <w:pStyle w:val="Normal"/>
        <w:ind w:firstLine="720" w:end="0"/>
        <w:jc w:val="both"/>
        <w:rPr/>
      </w:pPr>
      <w:r>
        <w:rPr>
          <w:sz w:val="22"/>
        </w:rPr>
        <w:t>(c)</w:t>
      </w:r>
      <w:r>
        <w:rPr>
          <w:b/>
          <w:i/>
          <w:sz w:val="22"/>
        </w:rPr>
        <w:tab/>
      </w:r>
      <w:r>
        <w:rPr>
          <w:b/>
          <w:iCs/>
          <w:sz w:val="22"/>
        </w:rPr>
        <w:t>Accuracy of Specified Information</w:t>
      </w:r>
      <w:r>
        <w:rPr>
          <w:b/>
          <w:i/>
          <w:sz w:val="22"/>
        </w:rPr>
        <w:t>.</w:t>
      </w:r>
      <w:r>
        <w:rPr>
          <w:sz w:val="22"/>
        </w:rPr>
        <w:t xml:space="preserve">  Section 3(d) of this Agreement is hereby amended by adding in the third line thereof after the word “respect” and before the period the words “or, in the case of audited or unaudited financial statements, a presentation of the financial condition of the relevant party in accordance with generally accepted accounting principles, consistently applied”.</w:t>
      </w:r>
    </w:p>
    <w:p>
      <w:pPr>
        <w:pStyle w:val="Normal"/>
        <w:spacing w:lineRule="exact" w:line="240" w:before="240" w:after="0"/>
        <w:ind w:firstLine="720" w:end="0"/>
        <w:jc w:val="both"/>
        <w:rPr/>
      </w:pPr>
      <w:r>
        <w:rPr>
          <w:color w:val="000000"/>
          <w:sz w:val="22"/>
          <w:szCs w:val="22"/>
        </w:rPr>
        <w:t>(d)</w:t>
        <w:tab/>
      </w:r>
      <w:r>
        <w:rPr>
          <w:b/>
          <w:bCs/>
          <w:color w:val="000000"/>
          <w:sz w:val="22"/>
          <w:szCs w:val="22"/>
        </w:rPr>
        <w:t>Representations.</w:t>
      </w:r>
      <w:r>
        <w:rPr>
          <w:color w:val="000000"/>
          <w:sz w:val="22"/>
          <w:szCs w:val="22"/>
        </w:rPr>
        <w:t xml:space="preserve">  Section 3 is hereby amended by adding at the end thereof the following Subsections (g), (h) (i) and (j):</w:t>
      </w:r>
    </w:p>
    <w:p>
      <w:pPr>
        <w:pStyle w:val="Normal"/>
        <w:spacing w:lineRule="exact" w:line="240"/>
        <w:ind w:start="1440" w:end="0"/>
        <w:jc w:val="both"/>
        <w:rPr>
          <w:color w:val="000000"/>
          <w:sz w:val="22"/>
          <w:szCs w:val="22"/>
        </w:rPr>
      </w:pPr>
      <w:r>
        <w:rPr>
          <w:color w:val="000000"/>
          <w:sz w:val="22"/>
          <w:szCs w:val="22"/>
        </w:rPr>
      </w:r>
    </w:p>
    <w:p>
      <w:pPr>
        <w:pStyle w:val="Normal"/>
        <w:spacing w:lineRule="exact" w:line="240"/>
        <w:ind w:firstLine="720" w:start="720" w:end="0"/>
        <w:jc w:val="both"/>
        <w:rPr>
          <w:sz w:val="22"/>
        </w:rPr>
      </w:pPr>
      <w:r>
        <w:rPr>
          <w:color w:val="000000"/>
          <w:sz w:val="22"/>
          <w:szCs w:val="22"/>
        </w:rPr>
        <w:t>(g)</w:t>
        <w:tab/>
      </w:r>
      <w:r>
        <w:rPr>
          <w:b/>
          <w:bCs/>
          <w:sz w:val="22"/>
          <w:szCs w:val="22"/>
        </w:rPr>
        <w:t>Canadian Securities Matters.</w:t>
      </w:r>
      <w:r>
        <w:rPr>
          <w:sz w:val="22"/>
          <w:szCs w:val="22"/>
        </w:rPr>
        <w:t xml:space="preserve">  Each Transaction shall constitute an “OTC Derivative” as defined in paragraph 4 of the Alberta Securities Commission Order Doc#394043 and it is a “Qualified Party” within the meaning of paragraph 9.1 of such order, as in effect on the date hereof.</w:t>
      </w:r>
    </w:p>
    <w:p>
      <w:pPr>
        <w:pStyle w:val="Normal"/>
        <w:spacing w:lineRule="exact" w:line="240" w:before="240" w:after="0"/>
        <w:ind w:firstLine="720" w:start="720" w:end="0"/>
        <w:jc w:val="both"/>
        <w:rPr/>
      </w:pPr>
      <w:r>
        <w:rPr>
          <w:color w:val="000000"/>
          <w:sz w:val="22"/>
          <w:szCs w:val="22"/>
        </w:rPr>
        <w:t>(h)</w:t>
        <w:tab/>
      </w:r>
      <w:r>
        <w:rPr>
          <w:b/>
          <w:bCs/>
          <w:color w:val="000000"/>
          <w:sz w:val="22"/>
          <w:szCs w:val="22"/>
        </w:rPr>
        <w:t>No Reliance.</w:t>
      </w:r>
      <w:r>
        <w:rPr>
          <w:color w:val="000000"/>
          <w:sz w:val="22"/>
          <w:szCs w:val="22"/>
        </w:rPr>
        <w:t xml:space="preserve">  In connection with this Agreement, any Credit Support Document to which it is a party, and each Transaction:  (i) it is acting as principal (and not as agent, advisor, broker or in any other capacity, fiduciary or otherwise);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tabs>
          <w:tab w:val="clear" w:pos="720"/>
          <w:tab w:val="left" w:pos="1440" w:leader="none"/>
        </w:tabs>
        <w:spacing w:lineRule="exact" w:line="240"/>
        <w:ind w:start="720" w:end="0"/>
        <w:jc w:val="both"/>
        <w:rPr>
          <w:color w:val="000000"/>
          <w:sz w:val="22"/>
          <w:szCs w:val="22"/>
        </w:rPr>
      </w:pPr>
      <w:r>
        <w:rPr>
          <w:color w:val="000000"/>
          <w:sz w:val="22"/>
          <w:szCs w:val="22"/>
        </w:rPr>
      </w:r>
    </w:p>
    <w:p>
      <w:pPr>
        <w:pStyle w:val="Normal"/>
        <w:tabs>
          <w:tab w:val="clear" w:pos="720"/>
          <w:tab w:val="left" w:pos="1440" w:leader="none"/>
        </w:tabs>
        <w:spacing w:lineRule="exact" w:line="240"/>
        <w:ind w:start="720" w:end="0"/>
        <w:jc w:val="both"/>
        <w:rPr/>
      </w:pPr>
      <w:r>
        <w:rPr>
          <w:color w:val="000000"/>
          <w:sz w:val="22"/>
          <w:szCs w:val="22"/>
        </w:rPr>
        <w:tab/>
        <w:t>(i)</w:t>
        <w:tab/>
      </w:r>
      <w:r>
        <w:rPr>
          <w:b/>
          <w:iCs/>
          <w:color w:val="000000"/>
          <w:sz w:val="22"/>
        </w:rPr>
        <w:t>Limitation of Representations and Warranties</w:t>
      </w:r>
      <w:r>
        <w:rPr>
          <w:b/>
          <w:i/>
          <w:color w:val="000000"/>
          <w:sz w:val="22"/>
        </w:rPr>
        <w:t>.</w:t>
      </w:r>
      <w:r>
        <w:rPr>
          <w:color w:val="000000"/>
          <w:sz w:val="22"/>
        </w:rPr>
        <w:t xml:space="preserve">  ALL OTHER REPRESENTATIONS OR WARRANTIES, EXPRESS OR IMPLIED, INCLUDING ANY WARRANTY OF MERCHANTABILITY OR OF FITNESS FOR ANY PARTICULAR PURPOSE, ARE DISCLAIMED. </w:t>
      </w:r>
    </w:p>
    <w:p>
      <w:pPr>
        <w:pStyle w:val="Normal"/>
        <w:spacing w:lineRule="exact" w:line="240" w:before="240" w:after="0"/>
        <w:ind w:firstLine="720" w:start="720" w:end="0"/>
        <w:jc w:val="both"/>
        <w:rPr/>
      </w:pPr>
      <w:r>
        <w:rPr>
          <w:color w:val="000000"/>
          <w:sz w:val="22"/>
        </w:rPr>
        <w:t>(j)</w:t>
        <w:tab/>
      </w:r>
      <w:r>
        <w:rPr>
          <w:b/>
          <w:bCs/>
          <w:color w:val="000000"/>
          <w:sz w:val="22"/>
          <w:szCs w:val="22"/>
        </w:rPr>
        <w:t>Customization and Creditworthiness.</w:t>
      </w:r>
      <w:r>
        <w:rPr>
          <w:color w:val="000000"/>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tabs>
          <w:tab w:val="clear" w:pos="720"/>
          <w:tab w:val="left" w:pos="1440" w:leader="none"/>
        </w:tabs>
        <w:spacing w:lineRule="exact" w:line="240"/>
        <w:ind w:start="720" w:end="0"/>
        <w:jc w:val="both"/>
        <w:rPr>
          <w:color w:val="000000"/>
          <w:sz w:val="22"/>
          <w:szCs w:val="22"/>
        </w:rPr>
      </w:pPr>
      <w:r>
        <w:rPr>
          <w:color w:val="000000"/>
          <w:sz w:val="22"/>
          <w:szCs w:val="22"/>
        </w:rPr>
      </w:r>
    </w:p>
    <w:p>
      <w:pPr>
        <w:pStyle w:val="Normal"/>
        <w:tabs>
          <w:tab w:val="clear" w:pos="720"/>
          <w:tab w:val="left" w:pos="1440" w:leader="none"/>
        </w:tabs>
        <w:spacing w:lineRule="exact" w:line="240"/>
        <w:ind w:start="720" w:end="0"/>
        <w:jc w:val="both"/>
        <w:rPr>
          <w:color w:val="000000"/>
          <w:sz w:val="22"/>
        </w:rPr>
      </w:pPr>
      <w:r>
        <w:rPr>
          <w:color w:val="000000"/>
          <w:sz w:val="22"/>
        </w:rPr>
      </w:r>
    </w:p>
    <w:p>
      <w:pPr>
        <w:pStyle w:val="Normal"/>
        <w:spacing w:lineRule="exact" w:line="240"/>
        <w:ind w:firstLine="720" w:end="0"/>
        <w:jc w:val="both"/>
        <w:rPr/>
      </w:pPr>
      <w:r>
        <w:rPr>
          <w:color w:val="000000"/>
          <w:sz w:val="22"/>
          <w:szCs w:val="22"/>
        </w:rPr>
        <w:t xml:space="preserve">(e)  </w:t>
      </w:r>
      <w:r>
        <w:rPr>
          <w:b/>
          <w:bCs/>
          <w:color w:val="000000"/>
          <w:sz w:val="22"/>
          <w:szCs w:val="22"/>
        </w:rPr>
        <w:t>Reference Market-makers.</w:t>
      </w:r>
      <w:r>
        <w:rPr>
          <w:color w:val="000000"/>
          <w:sz w:val="22"/>
          <w:szCs w:val="22"/>
        </w:rPr>
        <w:t xml:space="preserve">  The definition of </w:t>
      </w:r>
      <w:r>
        <w:rPr>
          <w:b/>
          <w:bCs/>
          <w:color w:val="000000"/>
          <w:sz w:val="22"/>
          <w:szCs w:val="22"/>
        </w:rPr>
        <w:t>“Reference Market-makers”</w:t>
      </w:r>
      <w:r>
        <w:rPr>
          <w:color w:val="000000"/>
          <w:sz w:val="22"/>
          <w:szCs w:val="22"/>
        </w:rPr>
        <w:t xml:space="preserve"> in Section 14 is </w:t>
      </w:r>
      <w:r>
        <w:rPr>
          <w:color w:val="000000"/>
          <w:sz w:val="22"/>
        </w:rPr>
        <w:t>hereby amended by:  (i) deleting “to the extent practicable” from the fourth line thereof; and (ii) deleting in the fourth line thereof after the word “dealers” the words “having an office in the same city” and replacing such words with the words “who enter into transactions similar in nature to Transactions”.</w:t>
      </w:r>
    </w:p>
    <w:p>
      <w:pPr>
        <w:pStyle w:val="Normal"/>
        <w:spacing w:lineRule="exact" w:line="240"/>
        <w:ind w:firstLine="720" w:end="0"/>
        <w:jc w:val="both"/>
        <w:rPr>
          <w:color w:val="000000"/>
          <w:sz w:val="22"/>
        </w:rPr>
      </w:pPr>
      <w:r>
        <w:rPr>
          <w:color w:val="000000"/>
          <w:sz w:val="22"/>
        </w:rPr>
      </w:r>
    </w:p>
    <w:p>
      <w:pPr>
        <w:pStyle w:val="Normal"/>
        <w:tabs>
          <w:tab w:val="left" w:pos="720" w:leader="none"/>
        </w:tabs>
        <w:spacing w:lineRule="exact" w:line="240"/>
        <w:jc w:val="both"/>
        <w:rPr/>
      </w:pPr>
      <w:r>
        <w:rPr>
          <w:b/>
          <w:bCs/>
          <w:color w:val="000000"/>
          <w:sz w:val="22"/>
          <w:szCs w:val="22"/>
        </w:rPr>
        <w:tab/>
      </w:r>
      <w:r>
        <w:rPr>
          <w:color w:val="000000"/>
          <w:sz w:val="22"/>
          <w:szCs w:val="22"/>
        </w:rPr>
        <w:t xml:space="preserve">(f)  </w:t>
      </w:r>
      <w:r>
        <w:rPr>
          <w:b/>
          <w:bCs/>
          <w:color w:val="000000"/>
          <w:sz w:val="22"/>
          <w:szCs w:val="22"/>
        </w:rPr>
        <w:t>Definitions.</w:t>
      </w:r>
      <w:r>
        <w:rPr>
          <w:color w:val="000000"/>
          <w:sz w:val="22"/>
          <w:szCs w:val="22"/>
        </w:rPr>
        <w:t xml:space="preserve">  This Agreement, each Confirmation, and each Transaction are subject to the 2000 ISDA Definitions and the Annex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  </w:t>
      </w:r>
      <w:r>
        <w:rPr>
          <w:color w:val="000000"/>
          <w:sz w:val="22"/>
        </w:rPr>
        <w:t>In the event of any inconsistency between the provisions of any Confirmation and this Agreement or the Definitions, such Confirmation will prevail for the purpose of the relevant Transaction.</w:t>
      </w:r>
    </w:p>
    <w:p>
      <w:pPr>
        <w:pStyle w:val="Normal"/>
        <w:tabs>
          <w:tab w:val="clear" w:pos="720"/>
          <w:tab w:val="left" w:pos="0" w:leader="none"/>
          <w:tab w:val="left" w:pos="810" w:leader="none"/>
          <w:tab w:val="left" w:pos="8640" w:leader="none"/>
        </w:tabs>
        <w:suppressAutoHyphens w:val="true"/>
        <w:jc w:val="both"/>
        <w:rPr>
          <w:color w:val="000000"/>
          <w:sz w:val="22"/>
          <w:szCs w:val="22"/>
        </w:rPr>
      </w:pPr>
      <w:r>
        <w:rPr>
          <w:color w:val="000000"/>
          <w:sz w:val="22"/>
          <w:szCs w:val="22"/>
        </w:rPr>
      </w:r>
    </w:p>
    <w:p>
      <w:pPr>
        <w:pStyle w:val="Normal"/>
        <w:tabs>
          <w:tab w:val="left" w:pos="0" w:leader="none"/>
          <w:tab w:val="left" w:pos="720" w:leader="none"/>
          <w:tab w:val="left" w:pos="8640" w:leader="none"/>
        </w:tabs>
        <w:suppressAutoHyphens w:val="true"/>
        <w:jc w:val="both"/>
        <w:rPr/>
      </w:pPr>
      <w:r>
        <w:rPr>
          <w:color w:val="000000"/>
          <w:sz w:val="22"/>
          <w:szCs w:val="22"/>
        </w:rPr>
        <w:tab/>
        <w:t xml:space="preserve">(g)  </w:t>
      </w:r>
      <w:r>
        <w:rPr>
          <w:b/>
          <w:bCs/>
          <w:color w:val="000000"/>
          <w:sz w:val="22"/>
          <w:szCs w:val="22"/>
        </w:rPr>
        <w:t xml:space="preserve">Procedures for Entering into Transactions.   </w:t>
      </w:r>
      <w:r>
        <w:rPr>
          <w:color w:val="000000"/>
          <w:sz w:val="22"/>
        </w:rPr>
        <w:t xml:space="preserve">The parties hereby amend Section 9(e)(ii) by adding the following paragraphs at the end thereof:   </w:t>
      </w:r>
    </w:p>
    <w:p>
      <w:pPr>
        <w:pStyle w:val="Normal"/>
        <w:tabs>
          <w:tab w:val="left" w:pos="0" w:leader="none"/>
          <w:tab w:val="left" w:pos="720" w:leader="none"/>
          <w:tab w:val="left" w:pos="8640" w:leader="none"/>
        </w:tabs>
        <w:suppressAutoHyphens w:val="true"/>
        <w:jc w:val="both"/>
        <w:rPr>
          <w:color w:val="000000"/>
          <w:sz w:val="22"/>
        </w:rPr>
      </w:pPr>
      <w:r>
        <w:rPr>
          <w:color w:val="000000"/>
          <w:sz w:val="22"/>
        </w:rPr>
      </w:r>
    </w:p>
    <w:p>
      <w:pPr>
        <w:pStyle w:val="Normal"/>
        <w:tabs>
          <w:tab w:val="left" w:pos="0" w:leader="none"/>
          <w:tab w:val="left" w:pos="720" w:leader="none"/>
          <w:tab w:val="left" w:pos="8640" w:leader="none"/>
        </w:tabs>
        <w:suppressAutoHyphens w:val="true"/>
        <w:jc w:val="both"/>
        <w:rPr/>
      </w:pPr>
      <w:r>
        <w:rPr>
          <w:color w:val="000000"/>
          <w:sz w:val="22"/>
        </w:rPr>
        <w:t>“</w:t>
      </w:r>
      <w:r>
        <w:rPr>
          <w:color w:val="000000"/>
          <w:sz w:val="22"/>
          <w:u w:val="single"/>
        </w:rPr>
        <w:t>Concerning Transactions other than EOL Transactions (as below defined)</w:t>
      </w:r>
      <w:r>
        <w:rPr>
          <w:color w:val="000000"/>
          <w:sz w:val="22"/>
        </w:rPr>
        <w:t xml:space="preserve">.  </w:t>
      </w:r>
      <w:r>
        <w:rPr>
          <w:spacing w:val="-3"/>
          <w:sz w:val="22"/>
          <w:lang w:val="en-GB"/>
        </w:rPr>
        <w:t>On or promptly after the date on which the parties reach oral agreement on the terms of a Transaction as contemplated by the first sentence of this Section, Party A will send to Party B a Confirmation documenting the terms of the oral agreement reached.  This Agreement and the terms and conditions specified in the Confirmation shall constitute the terms and conditions of that Transaction.  Party B shall promptly thereafter (but in no event more than three (3) Business Days after its delivery to Party B was deemed effective pursuant to Section 12(a)) confirm the accuracy of (in the manner required by this Section), or request the correction of such Confirmation (in the latter case, indicating how it believes the terms of such Confirmation should be correctly stated and any other terms which should be added or deleted from the Confirmation such that it correctly reflects the oral agreement reached in respect of the Transaction referred to in the Confirmation).</w:t>
      </w:r>
    </w:p>
    <w:p>
      <w:pPr>
        <w:pStyle w:val="Normal"/>
        <w:tabs>
          <w:tab w:val="left" w:pos="0" w:leader="none"/>
          <w:tab w:val="left" w:pos="540" w:leader="none"/>
          <w:tab w:val="left" w:pos="720" w:leader="none"/>
          <w:tab w:val="left" w:pos="810" w:leader="none"/>
          <w:tab w:val="left" w:pos="1260" w:leader="none"/>
          <w:tab w:val="left" w:pos="8640" w:leader="none"/>
        </w:tabs>
        <w:suppressAutoHyphens w:val="true"/>
        <w:ind w:firstLine="90" w:end="0"/>
        <w:jc w:val="both"/>
        <w:rPr>
          <w:spacing w:val="-3"/>
          <w:sz w:val="22"/>
          <w:lang w:val="en-GB"/>
        </w:rPr>
      </w:pPr>
      <w:r>
        <w:rPr>
          <w:spacing w:val="-3"/>
          <w:sz w:val="22"/>
          <w:lang w:val="en-GB"/>
        </w:rPr>
      </w:r>
    </w:p>
    <w:p>
      <w:pPr>
        <w:pStyle w:val="BodyTextIndent"/>
        <w:tabs>
          <w:tab w:val="clear" w:pos="720"/>
          <w:tab w:val="left" w:pos="0" w:leader="none"/>
          <w:tab w:val="left" w:pos="8640" w:leader="none"/>
        </w:tabs>
        <w:suppressAutoHyphens w:val="true"/>
        <w:spacing w:lineRule="auto" w:line="240" w:before="0" w:after="0"/>
        <w:ind w:start="0" w:end="0"/>
        <w:rPr>
          <w:spacing w:val="-3"/>
          <w:lang w:val="en-GB"/>
        </w:rPr>
      </w:pPr>
      <w:r>
        <w:rPr>
          <w:spacing w:val="-3"/>
          <w:lang w:val="en-GB"/>
        </w:rPr>
        <w:t>If Party B fails to either confirm or dispute the accuracy of a Confirmation as provided above, its failure shall constitute its acknowledgement that the Confirmation reflects Party B’s agreement on the terms of the Transaction referred to therein.  Party B understands and is aware that its failure to respond to a Confirmation shall constitute both its acceptance of the Transaction therein described and its acknowledgement that it has reviewed the terms of such Confirmation and found them sufficient to describe and document its understanding of the applicable Transaction.</w:t>
      </w:r>
    </w:p>
    <w:p>
      <w:pPr>
        <w:pStyle w:val="Normal"/>
        <w:tabs>
          <w:tab w:val="left" w:pos="720" w:leader="none"/>
          <w:tab w:val="left" w:pos="810" w:leader="none"/>
        </w:tabs>
        <w:ind w:firstLine="90" w:end="0"/>
        <w:rPr>
          <w:spacing w:val="-3"/>
          <w:sz w:val="22"/>
          <w:lang w:val="en-GB"/>
        </w:rPr>
      </w:pPr>
      <w:r>
        <w:rPr>
          <w:spacing w:val="-3"/>
          <w:sz w:val="22"/>
          <w:lang w:val="en-GB"/>
        </w:rPr>
      </w:r>
    </w:p>
    <w:p>
      <w:pPr>
        <w:pStyle w:val="Normal"/>
        <w:tabs>
          <w:tab w:val="clear" w:pos="720"/>
          <w:tab w:val="left" w:pos="0" w:leader="none"/>
          <w:tab w:val="left" w:pos="810" w:leader="none"/>
          <w:tab w:val="left" w:pos="8640" w:leader="none"/>
        </w:tabs>
        <w:suppressAutoHyphens w:val="true"/>
        <w:jc w:val="both"/>
        <w:rPr>
          <w:spacing w:val="-3"/>
          <w:sz w:val="22"/>
          <w:lang w:val="en-GB"/>
        </w:rPr>
      </w:pPr>
      <w:r>
        <w:rPr>
          <w:spacing w:val="-3"/>
          <w:sz w:val="22"/>
          <w:lang w:val="en-GB"/>
        </w:rPr>
        <w:t>If Party A fails to send to Party B a Confirmation within three (3) Business Days after the Transaction is entered into, Party B may send to Party A a Confirmation.  Party A shall promptly thereafter (but in no event more than three (3) Business Days after its delivery to Party A was deemed effective pursuant to Section 12(a)) confirm the accuracy of (in the manner required by this Section), or request the correction of such Confirmation (in the latter case, indicating how it believes the terms of such Confirmation should be correctly stated and any other terms which should be added or deleted from the Confirmation such that it correctly reflects the oral agreement reached in respect of the Transaction referred to in the Confirmation).</w:t>
      </w:r>
    </w:p>
    <w:p>
      <w:pPr>
        <w:pStyle w:val="Normal"/>
        <w:tabs>
          <w:tab w:val="left" w:pos="720" w:leader="none"/>
          <w:tab w:val="left" w:pos="810" w:leader="none"/>
          <w:tab w:val="left" w:pos="8640" w:leader="none"/>
        </w:tabs>
        <w:suppressAutoHyphens w:val="true"/>
        <w:ind w:start="720" w:end="0"/>
        <w:jc w:val="both"/>
        <w:rPr>
          <w:spacing w:val="-3"/>
          <w:sz w:val="22"/>
          <w:lang w:val="en-GB"/>
        </w:rPr>
      </w:pPr>
      <w:r>
        <w:rPr>
          <w:spacing w:val="-3"/>
          <w:sz w:val="22"/>
          <w:lang w:val="en-GB"/>
        </w:rPr>
      </w:r>
    </w:p>
    <w:p>
      <w:pPr>
        <w:pStyle w:val="Normal"/>
        <w:tabs>
          <w:tab w:val="clear" w:pos="720"/>
          <w:tab w:val="left" w:pos="0" w:leader="none"/>
          <w:tab w:val="left" w:pos="810" w:leader="none"/>
          <w:tab w:val="left" w:pos="8640" w:leader="none"/>
        </w:tabs>
        <w:suppressAutoHyphens w:val="true"/>
        <w:jc w:val="both"/>
        <w:rPr>
          <w:spacing w:val="-3"/>
          <w:sz w:val="22"/>
          <w:lang w:val="en-GB"/>
        </w:rPr>
      </w:pPr>
      <w:r>
        <w:rPr>
          <w:spacing w:val="-3"/>
          <w:sz w:val="22"/>
          <w:lang w:val="en-GB"/>
        </w:rPr>
        <w:t>If Party A fails to either confirm or dispute the accuracy of a Confirmation as provided above, its failure shall constitute its acknowledgement that the Confirmation reflects Party A’s agreement on the terms of the Transaction referred to therein.  Party A understands and is aware that its failure to respond to a Confirmation shall constitute both its acceptance of the Transaction therein described and its acknowledgement that it has reviewed the terms of such Confirmation and found them sufficient to describe and document its understanding of the applicable Transaction.</w:t>
      </w:r>
    </w:p>
    <w:p>
      <w:pPr>
        <w:pStyle w:val="Normal"/>
        <w:tabs>
          <w:tab w:val="left" w:pos="0" w:leader="none"/>
          <w:tab w:val="left" w:pos="540" w:leader="none"/>
          <w:tab w:val="left" w:pos="720" w:leader="none"/>
          <w:tab w:val="left" w:pos="810" w:leader="none"/>
          <w:tab w:val="left" w:pos="1260" w:leader="none"/>
          <w:tab w:val="left" w:pos="8640" w:leader="none"/>
        </w:tabs>
        <w:suppressAutoHyphens w:val="true"/>
        <w:ind w:start="540" w:end="0"/>
        <w:jc w:val="both"/>
        <w:rPr>
          <w:spacing w:val="-3"/>
          <w:sz w:val="22"/>
          <w:lang w:val="en-GB"/>
        </w:rPr>
      </w:pPr>
      <w:r>
        <w:rPr>
          <w:spacing w:val="-3"/>
          <w:sz w:val="22"/>
          <w:lang w:val="en-GB"/>
        </w:rPr>
      </w:r>
    </w:p>
    <w:p>
      <w:pPr>
        <w:pStyle w:val="Normal"/>
        <w:tabs>
          <w:tab w:val="clear" w:pos="720"/>
          <w:tab w:val="left" w:pos="0" w:leader="none"/>
          <w:tab w:val="left" w:pos="810" w:leader="none"/>
          <w:tab w:val="left" w:pos="8640" w:leader="none"/>
        </w:tabs>
        <w:suppressAutoHyphens w:val="true"/>
        <w:jc w:val="both"/>
        <w:rPr>
          <w:spacing w:val="-3"/>
          <w:sz w:val="22"/>
          <w:lang w:val="en-GB"/>
        </w:rPr>
      </w:pPr>
      <w:r>
        <w:rPr>
          <w:spacing w:val="-3"/>
          <w:sz w:val="22"/>
          <w:lang w:val="en-GB"/>
        </w:rPr>
        <w:t xml:space="preserve">If Party A and Party B each send a Confirmation in accordance with the foregoing and neither Party objects to the other Party’s Confirmation within three (3) Business Days of when its delivery was deemed effective pursuant to Section 12(a), Party A’s Confirmation shall be deemed to be accepted and shall be the controlling Confirmation, unless (i) Party A’s Confirmation was sent more than three (3) Business Days after the Transaction was entered into and (ii) Party B’s Confirmation was sent prior to Party A’s Confirmation, in which case Party B’s Confirmation shall be deemed to be accepted and shall be the controlling Confirmation.  Failure by either Party to send or either Party to return an executed Confirmation or any objection by either Party shall not invalidate the Transaction agreed to by the Parties.  </w:t>
      </w:r>
    </w:p>
    <w:p>
      <w:pPr>
        <w:pStyle w:val="Normal"/>
        <w:tabs>
          <w:tab w:val="clear" w:pos="720"/>
          <w:tab w:val="left" w:pos="0" w:leader="none"/>
          <w:tab w:val="left" w:pos="810" w:leader="none"/>
          <w:tab w:val="left" w:pos="8640" w:leader="none"/>
        </w:tabs>
        <w:suppressAutoHyphens w:val="true"/>
        <w:ind w:start="90" w:end="0"/>
        <w:jc w:val="both"/>
        <w:rPr>
          <w:spacing w:val="-3"/>
          <w:sz w:val="22"/>
          <w:lang w:val="en-GB"/>
        </w:rPr>
      </w:pPr>
      <w:r>
        <w:rPr>
          <w:spacing w:val="-3"/>
          <w:sz w:val="22"/>
          <w:lang w:val="en-GB"/>
        </w:rPr>
      </w:r>
    </w:p>
    <w:p>
      <w:pPr>
        <w:pStyle w:val="Normal"/>
        <w:jc w:val="both"/>
        <w:rPr/>
      </w:pPr>
      <w:r>
        <w:rPr>
          <w:color w:val="000000"/>
          <w:sz w:val="22"/>
          <w:u w:val="single"/>
        </w:rPr>
        <w:t>Concerning EOL Transactions</w:t>
      </w:r>
      <w:r>
        <w:rPr>
          <w:color w:val="000000"/>
          <w:sz w:val="22"/>
        </w:rPr>
        <w:t xml:space="preserve">.  </w:t>
      </w:r>
      <w:r>
        <w:rPr>
          <w:sz w:val="22"/>
        </w:rPr>
        <w:t>The parties have previously entered into, and/or expect in the future to enter into, Transactions in which the relevant Commodity is either natural gas or power from time to time using the EnronOnline trading system (“EOL”) (each an “EOL Transaction” and collectively the “EOL Transactions” whether entered into before, on, or after the date of this Agreement).  Neither party is required to send to the other a Confirmation of any EOL Transaction, and failure to send a Confirmation of an EOL Transaction shall not constitute a default or have any other ramification under this Agreement.  The EOL Transactions shall be binding on the parties and shall be governed by all other provisions of this Agreement to the same extent as if Confirmations had been sent by one party and executed and returned by the other.  The electronic records of the EOL Transactions available on EOL shall supplement, form a part of, and be subject to the terms of this Agreement and this paragraph shall apply to any EOL Transaction that has not been documented in a Confirmation executed and delivered by both parties.  Each party consents to the introduction into evidence of the records of the EOL Transactions maintained on EOL and waives any right to object to such records as not being in writing or constituting a writing.  Electronic EOL records, if introduced in evidence in any judicial, arbitration, mediation or administrative proceedings, will be admissible as between the parties to the same extent and under the same conditions as other business records originated and maintained in documentary form.  No party shall object to the admissibility of such EOL electronic records on the basis that such were not originated or maintained in documentary form under either the hearsay rule, the best evidence rule or other rule of evidence.”</w:t>
      </w:r>
    </w:p>
    <w:p>
      <w:pPr>
        <w:pStyle w:val="Normal"/>
        <w:spacing w:lineRule="exact" w:line="240" w:before="240" w:after="0"/>
        <w:ind w:firstLine="720" w:end="0"/>
        <w:jc w:val="both"/>
        <w:rPr>
          <w:color w:val="000000"/>
          <w:sz w:val="22"/>
          <w:szCs w:val="22"/>
        </w:rPr>
      </w:pPr>
      <w:r>
        <w:rPr>
          <w:color w:val="000000"/>
          <w:sz w:val="22"/>
          <w:szCs w:val="22"/>
        </w:rPr>
        <w:t xml:space="preserve">  </w:t>
      </w:r>
      <w:r>
        <w:rPr>
          <w:color w:val="000000"/>
          <w:sz w:val="22"/>
          <w:szCs w:val="22"/>
        </w:rPr>
        <w:t>(h)</w:t>
      </w:r>
      <w:r>
        <w:rPr>
          <w:b/>
          <w:bCs/>
          <w:color w:val="000000"/>
          <w:sz w:val="22"/>
          <w:szCs w:val="22"/>
        </w:rPr>
        <w:tab/>
        <w:t>Recording.</w:t>
      </w:r>
      <w:r>
        <w:rPr>
          <w:color w:val="000000"/>
          <w:sz w:val="22"/>
          <w:szCs w:val="22"/>
        </w:rPr>
        <w:t xml:space="preserve">  </w:t>
      </w:r>
      <w:r>
        <w:rPr>
          <w:sz w:val="22"/>
        </w:rPr>
        <w:t>Each party consents, without any further notice, (i) to the  audio  recording by the other of telephone conversations between the trading and marketing personnel of the parties in connection with this Agreement and any Transactions entered into pursuant to it;  (ii) that all recordings so made shall be admissible for introduction into evidence, and may be used to prove the existence and terms of oral agreements between the parties; (iii) waive any further notice of such monitoring or recording, and (iv) agree to notify its relevant officers and employees of such monitoring or recording.  Neither party shall have an obligation to make such recordings or retain such recordings unless such retention is required by law or governmental order.</w:t>
      </w:r>
    </w:p>
    <w:p>
      <w:pPr>
        <w:pStyle w:val="Normal"/>
        <w:spacing w:lineRule="exact" w:line="240" w:before="240" w:after="0"/>
        <w:ind w:firstLine="720" w:end="0"/>
        <w:jc w:val="both"/>
        <w:rPr/>
      </w:pPr>
      <w:r>
        <w:rPr>
          <w:color w:val="000000"/>
          <w:sz w:val="22"/>
          <w:szCs w:val="22"/>
        </w:rPr>
        <w:t>(i)</w:t>
        <w:tab/>
      </w:r>
      <w:r>
        <w:rPr>
          <w:b/>
          <w:bCs/>
          <w:color w:val="000000"/>
          <w:sz w:val="22"/>
          <w:szCs w:val="22"/>
        </w:rPr>
        <w:t>Setoff.</w:t>
      </w:r>
      <w:r>
        <w:rPr>
          <w:color w:val="000000"/>
          <w:sz w:val="22"/>
          <w:szCs w:val="22"/>
        </w:rPr>
        <w:t xml:space="preserve">  Upon the designation or deemed designation of an Early Termination Date occasioned by an Event of Default under Section 5(a), or a Termination Event under Section 5(b)(iii), (iv) or (v) where there is one Affected Party, the Non-defaulting Party or the non-Affected Party (in either case, “X”) may, at its option and in its discretion, setoff, against any amounts Owed to the Defaulting Party or Affected Party (in either case, “Y”) in Dollars or any other currency by X and all Affiliates of X under this Agreement or under any other agreement(s), instrument(s) or undertaking(s), any amounts Owed in Dollars or any other currency by Y to X and all of X’s Affiliates (irrespective of place of payment or booking office of the obligation) under this Agreement or under any other agreement(s), instrument(s) or undertaking(s).  The obligations of Y and X under this Agreement in respect of such amounts shall be deemed satisfied and discharged to the extent of any such setoff exercised by X and X’s Affiliates.  X will give Y notice of any setoff effected under this section as soon as practicable after the setoff is effected provided that failure to give such notice shall not affect the validity of the setoff.  For purposes of this section, “Owed” shall mean any amounts owed or otherwise accrued and payable (regardless of whether such amounts have been or could be invoiced) as of the Early Termination Date.</w:t>
      </w:r>
    </w:p>
    <w:p>
      <w:pPr>
        <w:pStyle w:val="Normal"/>
        <w:spacing w:lineRule="exact" w:line="240" w:before="240" w:after="0"/>
        <w:ind w:firstLine="720" w:end="0"/>
        <w:jc w:val="both"/>
        <w:rPr>
          <w:color w:val="000000"/>
          <w:sz w:val="22"/>
          <w:szCs w:val="22"/>
        </w:rPr>
      </w:pPr>
      <w:r>
        <w:rPr>
          <w:color w:val="000000"/>
          <w:sz w:val="22"/>
          <w:szCs w:val="22"/>
        </w:rPr>
        <w:t>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section are an integral part of this Agreement between the parties and that without such rights the parties would not be willing to enter into Transactions.  The parties further acknowledge that each is executing this Agreement on behalf of itself as principal and, with respect to this section, as agent on behalf of its Affiliates, which Affiliates shall receive the benefits of this section and otherwise be bound as if such Affiliates had directly signed this Agreement as it relates to this section.</w:t>
      </w:r>
    </w:p>
    <w:p>
      <w:pPr>
        <w:pStyle w:val="Normal"/>
        <w:spacing w:lineRule="exact" w:line="240" w:before="240" w:after="0"/>
        <w:ind w:firstLine="720" w:end="0"/>
        <w:jc w:val="both"/>
        <w:rPr/>
      </w:pPr>
      <w:r>
        <w:rPr>
          <w:b/>
          <w:bCs/>
          <w:color w:val="000000"/>
          <w:sz w:val="22"/>
          <w:szCs w:val="22"/>
        </w:rPr>
        <w:t>(j)</w:t>
        <w:tab/>
        <w:t xml:space="preserve">LIMITATION OF LIABILITY.  </w:t>
      </w:r>
      <w:r>
        <w:rPr>
          <w:b/>
          <w:sz w:val="22"/>
        </w:rPr>
        <w:t xml:space="preserve">THE  PARTIES CONFIRM THAT THE EXPRESS PAYMENTS PROVIDED FOR IN THIS AGREEMENT IN LIEU OF OTHER REMEDIES OR MEASURES OF DAMAGES SATISFY THE ESSENTIAL PURPOSES HEREOF.  FOR BREACH OF ANY PROVISION FOR WHICH AN EXPRESS PAYMENT IS SPECIFIED AS THE APPROPRIATE MEASURE OF DAMAGES, SUCH PAYMENT SHALL BE THE SOLE AND EXCLUSIVE REMEDY AVAILABLE TO A PARTY AND ALL OTHER REMEDIES AT LAW OR IN EQUITY ARE WAIVED.   </w:t>
      </w:r>
      <w:r>
        <w:rPr>
          <w:b/>
          <w:bCs/>
          <w:color w:val="000000"/>
          <w:sz w:val="22"/>
          <w:szCs w:val="22"/>
        </w:rPr>
        <w:t>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color w:val="000000"/>
          <w:sz w:val="22"/>
        </w:rPr>
      </w:pPr>
      <w:r>
        <w:rPr>
          <w:color w:val="000000"/>
          <w:sz w:val="22"/>
          <w:szCs w:val="22"/>
        </w:rPr>
        <w:t>(k)</w:t>
        <w:tab/>
      </w:r>
      <w:r>
        <w:rPr>
          <w:b/>
          <w:bCs/>
          <w:color w:val="000000"/>
          <w:sz w:val="22"/>
          <w:szCs w:val="22"/>
        </w:rPr>
        <w:t>Confidentiality.</w:t>
      </w:r>
      <w:r>
        <w:rPr>
          <w:color w:val="000000"/>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other than as a result of a violation of this Agreement,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rating agencies, attorneys, advisors or lenders which are required to keep the information that is disclosed in confidence.  </w:t>
      </w:r>
      <w:r>
        <w:rPr>
          <w:sz w:val="22"/>
        </w:rPr>
        <w:t>In the event that a party is requested or required (by interrogatory, request for information or documents, subpoena, deposition, civil investigative demand or other legal process) to disclose any Confidential Information, it is agreed that the party requested to disclose the information (“X”) will provide the other party (“Y”) with prompt notice of any such request or requirement, if the notice is, in the determination of X’s counsel, permitted by law, so that Y may seek an appropriate protective order or waive compliance with the provisions of this Agreement.  Additionally, X shall make reasonable efforts to maintain the confidentiality of such information, including providing Y reasonable assistance in requesting a protective order from the appropriate authority.  If failing the entry of a protective order or the receipt of a waiver hereunder, a party is, in the opinion of counsel, compelled to disclose Confidential Information, that party may disclose that portion of the Confidential Information which counsel advises such party it is compelled to disclose.  The costs, inclusive of legal fees, incurred by X related to its compliance with this paragraph shall be borne by Y.</w:t>
      </w:r>
    </w:p>
    <w:p>
      <w:pPr>
        <w:pStyle w:val="Normal"/>
        <w:spacing w:lineRule="exact" w:line="240"/>
        <w:ind w:firstLine="630" w:end="0"/>
        <w:jc w:val="both"/>
        <w:rPr>
          <w:color w:val="000000"/>
          <w:sz w:val="22"/>
          <w:szCs w:val="22"/>
        </w:rPr>
      </w:pPr>
      <w:r>
        <w:rPr>
          <w:color w:val="000000"/>
          <w:sz w:val="22"/>
          <w:szCs w:val="22"/>
        </w:rPr>
      </w:r>
    </w:p>
    <w:p>
      <w:pPr>
        <w:pStyle w:val="Normal"/>
        <w:tabs>
          <w:tab w:val="clear" w:pos="720"/>
          <w:tab w:val="left" w:pos="-1440" w:leader="none"/>
          <w:tab w:val="left" w:pos="-720" w:leader="none"/>
        </w:tabs>
        <w:suppressAutoHyphens w:val="true"/>
        <w:jc w:val="both"/>
        <w:rPr/>
      </w:pPr>
      <w:r>
        <w:rPr>
          <w:color w:val="000000"/>
          <w:sz w:val="22"/>
          <w:szCs w:val="22"/>
        </w:rPr>
        <w:tab/>
        <w:t>(l)</w:t>
        <w:tab/>
      </w:r>
      <w:r>
        <w:rPr>
          <w:b/>
          <w:bCs/>
          <w:color w:val="000000"/>
          <w:sz w:val="22"/>
          <w:szCs w:val="22"/>
        </w:rPr>
        <w:t>Transfer.</w:t>
      </w:r>
      <w:r>
        <w:rPr>
          <w:color w:val="000000"/>
          <w:sz w:val="22"/>
          <w:szCs w:val="22"/>
        </w:rPr>
        <w:t xml:space="preserve">  Section 7 is hereby amended by </w:t>
      </w:r>
      <w:r>
        <w:rPr>
          <w:sz w:val="22"/>
        </w:rPr>
        <w:t xml:space="preserve">(i) adding in the third line thereof after the word "party" the words "which consent shall not be unreasonably withheld or delayed" and (ii) </w:t>
      </w:r>
      <w:r>
        <w:rPr>
          <w:color w:val="000000"/>
          <w:sz w:val="22"/>
          <w:szCs w:val="22"/>
        </w:rPr>
        <w:t>adding the following Subsection (c):</w:t>
      </w:r>
    </w:p>
    <w:p>
      <w:pPr>
        <w:pStyle w:val="Normal"/>
        <w:tabs>
          <w:tab w:val="clear" w:pos="720"/>
          <w:tab w:val="left" w:pos="-1440" w:leader="none"/>
          <w:tab w:val="left" w:pos="-720" w:leader="none"/>
          <w:tab w:val="left" w:pos="1890" w:leader="none"/>
        </w:tabs>
        <w:suppressAutoHyphens w:val="true"/>
        <w:ind w:hanging="1170" w:start="1890" w:end="0"/>
        <w:jc w:val="both"/>
        <w:rPr>
          <w:color w:val="000000"/>
          <w:sz w:val="22"/>
          <w:szCs w:val="22"/>
        </w:rPr>
      </w:pPr>
      <w:r>
        <w:rPr>
          <w:color w:val="000000"/>
          <w:sz w:val="22"/>
          <w:szCs w:val="22"/>
        </w:rPr>
      </w:r>
    </w:p>
    <w:p>
      <w:pPr>
        <w:pStyle w:val="Normal"/>
        <w:spacing w:lineRule="exact" w:line="240"/>
        <w:ind w:firstLine="720" w:start="720" w:end="0"/>
        <w:jc w:val="both"/>
        <w:rPr>
          <w:color w:val="000000"/>
          <w:sz w:val="22"/>
          <w:szCs w:val="22"/>
        </w:rPr>
      </w:pPr>
      <w:r>
        <w:rPr>
          <w:color w:val="000000"/>
          <w:sz w:val="22"/>
          <w:szCs w:val="22"/>
        </w:rPr>
        <w:t>“</w:t>
      </w:r>
      <w:r>
        <w:rPr>
          <w:color w:val="000000"/>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color w:val="000000"/>
          <w:sz w:val="22"/>
          <w:szCs w:val="22"/>
        </w:rPr>
        <w:t>(m)</w:t>
        <w:tab/>
      </w:r>
      <w:r>
        <w:rPr>
          <w:b/>
          <w:bCs/>
          <w:color w:val="000000"/>
          <w:sz w:val="22"/>
          <w:szCs w:val="22"/>
        </w:rPr>
        <w:t>Applicable Rate.</w:t>
      </w:r>
      <w:r>
        <w:rPr>
          <w:color w:val="000000"/>
          <w:sz w:val="22"/>
          <w:szCs w:val="22"/>
        </w:rPr>
        <w:t xml:space="preserve">  The definition of </w:t>
      </w:r>
      <w:r>
        <w:rPr>
          <w:b/>
          <w:bCs/>
          <w:color w:val="000000"/>
          <w:sz w:val="22"/>
          <w:szCs w:val="22"/>
        </w:rPr>
        <w:t>“Applicable Rate”</w:t>
      </w:r>
      <w:r>
        <w:rPr>
          <w:color w:val="000000"/>
          <w:sz w:val="22"/>
          <w:szCs w:val="22"/>
        </w:rPr>
        <w:t xml:space="preserve"> set forth in Section 14 is hereby amended by adding to the end of Subsection (b) of the definition after the word “Rate” the following provision:  “;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color w:val="000000"/>
          <w:sz w:val="22"/>
          <w:szCs w:val="22"/>
        </w:rPr>
        <w:t>(n)</w:t>
        <w:tab/>
      </w:r>
      <w:r>
        <w:rPr>
          <w:b/>
          <w:bCs/>
          <w:color w:val="000000"/>
          <w:sz w:val="22"/>
          <w:szCs w:val="22"/>
        </w:rPr>
        <w:t>Severability.</w:t>
      </w:r>
      <w:r>
        <w:rPr>
          <w:color w:val="000000"/>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color w:val="000000"/>
          <w:sz w:val="22"/>
          <w:szCs w:val="22"/>
        </w:rPr>
      </w:pPr>
      <w:r>
        <w:rPr>
          <w:color w:val="000000"/>
          <w:sz w:val="22"/>
          <w:szCs w:val="22"/>
        </w:rPr>
      </w:r>
    </w:p>
    <w:p>
      <w:pPr>
        <w:pStyle w:val="Normal"/>
        <w:spacing w:lineRule="exact" w:line="240"/>
        <w:ind w:firstLine="720" w:end="0"/>
        <w:jc w:val="both"/>
        <w:rPr/>
      </w:pPr>
      <w:r>
        <w:rPr>
          <w:color w:val="000000"/>
          <w:sz w:val="22"/>
          <w:szCs w:val="22"/>
        </w:rPr>
        <w:t>(o)</w:t>
        <w:tab/>
      </w:r>
      <w:r>
        <w:rPr>
          <w:b/>
          <w:bCs/>
          <w:color w:val="000000"/>
          <w:sz w:val="22"/>
          <w:szCs w:val="22"/>
        </w:rPr>
        <w:t>Maximum Rate; Disclosure, etc.</w:t>
      </w:r>
      <w:r>
        <w:rPr>
          <w:color w:val="000000"/>
          <w:sz w:val="22"/>
          <w:szCs w:val="22"/>
        </w:rPr>
        <w:t xml:space="preserve">  Notwithstanding any provision to the contrary contained in this Agreement, the Default Rate, Non-default Rate, Termination Rate and any other rate of interest payable under this Agreement shall not exceed the maximum interest rate, if any, that at any time or from time to time may be contracted for, taken, reserved, charged, or received under applicable law.  Any applicable interest rate expressed as an annual rate of interest shall, for the purposes of compliance with applicable law, be equivalent to such interest rate multiplied by the actual number of days in the calendar year in which the same is to be determined and divided by 365/366, as the case may be.</w:t>
      </w:r>
    </w:p>
    <w:p>
      <w:pPr>
        <w:pStyle w:val="Normal"/>
        <w:spacing w:lineRule="exact" w:line="240" w:before="240" w:after="0"/>
        <w:ind w:firstLine="720" w:end="0"/>
        <w:jc w:val="both"/>
        <w:rPr/>
      </w:pPr>
      <w:r>
        <w:rPr>
          <w:color w:val="000000"/>
          <w:sz w:val="22"/>
          <w:szCs w:val="22"/>
        </w:rPr>
        <w:t>(p)</w:t>
        <w:tab/>
      </w:r>
      <w:r>
        <w:rPr>
          <w:b/>
          <w:bCs/>
          <w:color w:val="000000"/>
          <w:sz w:val="22"/>
          <w:szCs w:val="22"/>
        </w:rPr>
        <w:t>Existing Transactions.</w:t>
      </w:r>
      <w:r>
        <w:rPr>
          <w:color w:val="000000"/>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p>
    <w:p>
      <w:pPr>
        <w:pStyle w:val="Normal"/>
        <w:spacing w:lineRule="exact" w:line="240" w:before="240" w:after="0"/>
        <w:ind w:firstLine="720" w:end="0"/>
        <w:jc w:val="both"/>
        <w:rPr/>
      </w:pPr>
      <w:r>
        <w:rPr>
          <w:color w:val="000000"/>
          <w:sz w:val="22"/>
          <w:szCs w:val="22"/>
        </w:rPr>
        <w:t>(q)</w:t>
        <w:tab/>
      </w:r>
      <w:r>
        <w:rPr>
          <w:b/>
          <w:bCs/>
          <w:color w:val="000000"/>
          <w:sz w:val="22"/>
          <w:szCs w:val="22"/>
        </w:rPr>
        <w:t>Other Modifications to the Agreement.</w:t>
      </w:r>
    </w:p>
    <w:p>
      <w:pPr>
        <w:pStyle w:val="Normal"/>
        <w:tabs>
          <w:tab w:val="left" w:pos="-1440" w:leader="none"/>
          <w:tab w:val="left" w:pos="-720" w:leader="none"/>
          <w:tab w:val="left" w:pos="0" w:leader="none"/>
          <w:tab w:val="left" w:pos="720" w:leader="none"/>
          <w:tab w:val="left" w:pos="1872" w:leader="none"/>
          <w:tab w:val="left" w:pos="2160" w:leader="none"/>
        </w:tabs>
        <w:suppressAutoHyphens w:val="true"/>
        <w:ind w:hanging="1872" w:start="1872" w:end="0"/>
        <w:jc w:val="both"/>
        <w:rPr>
          <w:b/>
          <w:bCs/>
          <w:color w:val="000000"/>
          <w:sz w:val="22"/>
          <w:szCs w:val="22"/>
        </w:rPr>
      </w:pPr>
      <w:r>
        <w:rPr>
          <w:b/>
          <w:bCs/>
          <w:color w:val="000000"/>
          <w:sz w:val="22"/>
          <w:szCs w:val="22"/>
        </w:rPr>
      </w:r>
    </w:p>
    <w:p>
      <w:pPr>
        <w:pStyle w:val="Normal"/>
        <w:tabs>
          <w:tab w:val="left" w:pos="-1440" w:leader="none"/>
          <w:tab w:val="left" w:pos="-720" w:leader="none"/>
          <w:tab w:val="left" w:pos="0" w:leader="none"/>
          <w:tab w:val="left" w:pos="720" w:leader="none"/>
          <w:tab w:val="left" w:pos="1872" w:leader="none"/>
          <w:tab w:val="left" w:pos="2160" w:leader="none"/>
        </w:tabs>
        <w:suppressAutoHyphens w:val="true"/>
        <w:ind w:hanging="1872" w:start="1872" w:end="0"/>
        <w:jc w:val="both"/>
        <w:rPr>
          <w:sz w:val="22"/>
        </w:rPr>
      </w:pPr>
      <w:r>
        <w:rPr>
          <w:sz w:val="22"/>
        </w:rPr>
        <w:tab/>
        <w:t>(i)</w:t>
        <w:tab/>
        <w:t>Section 4(c) is hereby amended by replacing the words "to which it may be subject" with the words "to which it is subject."</w:t>
      </w:r>
    </w:p>
    <w:p>
      <w:pPr>
        <w:pStyle w:val="Normal"/>
        <w:tabs>
          <w:tab w:val="left" w:pos="-1440" w:leader="none"/>
          <w:tab w:val="left" w:pos="-720" w:leader="none"/>
          <w:tab w:val="left" w:pos="0" w:leader="none"/>
          <w:tab w:val="left" w:pos="720" w:leader="none"/>
          <w:tab w:val="left" w:pos="1872" w:leader="none"/>
          <w:tab w:val="left" w:pos="2160" w:leader="none"/>
        </w:tabs>
        <w:suppressAutoHyphens w:val="true"/>
        <w:ind w:hanging="1872" w:start="1872" w:end="0"/>
        <w:jc w:val="both"/>
        <w:rPr>
          <w:sz w:val="22"/>
        </w:rPr>
      </w:pPr>
      <w:r>
        <w:rPr>
          <w:sz w:val="22"/>
        </w:rPr>
      </w:r>
    </w:p>
    <w:p>
      <w:pPr>
        <w:pStyle w:val="Normal"/>
        <w:tabs>
          <w:tab w:val="left" w:pos="-1440" w:leader="none"/>
          <w:tab w:val="left" w:pos="-720" w:leader="none"/>
          <w:tab w:val="left" w:pos="0" w:leader="none"/>
          <w:tab w:val="left" w:pos="720" w:leader="none"/>
          <w:tab w:val="left" w:pos="1872" w:leader="none"/>
          <w:tab w:val="left" w:pos="2160" w:leader="none"/>
        </w:tabs>
        <w:suppressAutoHyphens w:val="true"/>
        <w:ind w:hanging="1872" w:start="1872" w:end="0"/>
        <w:jc w:val="both"/>
        <w:rPr>
          <w:sz w:val="22"/>
        </w:rPr>
      </w:pPr>
      <w:r>
        <w:rPr>
          <w:sz w:val="22"/>
        </w:rPr>
        <w:tab/>
        <w:t>(ii)</w:t>
        <w:tab/>
        <w:t xml:space="preserve">Section 5(a)(iii)(1) is hereby deemed to include the breach by the party or any Credit Support Provider of any representation, warranty or covenant set forth in any Credit Support Document.  </w:t>
      </w:r>
    </w:p>
    <w:p>
      <w:pPr>
        <w:pStyle w:val="Normal"/>
        <w:tabs>
          <w:tab w:val="left" w:pos="-1440" w:leader="none"/>
          <w:tab w:val="left" w:pos="-720" w:leader="none"/>
          <w:tab w:val="left" w:pos="0" w:leader="none"/>
          <w:tab w:val="left" w:pos="720" w:leader="none"/>
          <w:tab w:val="left" w:pos="1872" w:leader="none"/>
          <w:tab w:val="left" w:pos="2160" w:leader="none"/>
        </w:tabs>
        <w:suppressAutoHyphens w:val="true"/>
        <w:ind w:hanging="1872" w:start="1872" w:end="0"/>
        <w:jc w:val="both"/>
        <w:rPr>
          <w:sz w:val="22"/>
        </w:rPr>
      </w:pPr>
      <w:r>
        <w:rPr>
          <w:sz w:val="22"/>
        </w:rPr>
      </w:r>
    </w:p>
    <w:p>
      <w:pPr>
        <w:pStyle w:val="Normal"/>
        <w:tabs>
          <w:tab w:val="left" w:pos="-1440" w:leader="none"/>
          <w:tab w:val="left" w:pos="-720" w:leader="none"/>
          <w:tab w:val="left" w:pos="0" w:leader="none"/>
          <w:tab w:val="left" w:pos="720" w:leader="none"/>
          <w:tab w:val="left" w:pos="1872" w:leader="none"/>
          <w:tab w:val="left" w:pos="2160" w:leader="none"/>
        </w:tabs>
        <w:suppressAutoHyphens w:val="true"/>
        <w:ind w:hanging="1872" w:start="1872" w:end="0"/>
        <w:jc w:val="both"/>
        <w:rPr>
          <w:sz w:val="22"/>
        </w:rPr>
      </w:pPr>
      <w:r>
        <w:rPr>
          <w:sz w:val="22"/>
        </w:rPr>
        <w:tab/>
        <w:t>(iii)</w:t>
        <w:tab/>
        <w:t>The introductory paragraph of Section 5(a)(viii) is hereby amended by adding the words "or reorganizes, reincorporates or reconstitutes into or as," in the third line thereof after the words "its assets to," and by adding the words ", reorganization, reincorporation, reconstitution" in the third line thereof after the word "merger."</w:t>
      </w:r>
    </w:p>
    <w:p>
      <w:pPr>
        <w:pStyle w:val="Normal"/>
        <w:tabs>
          <w:tab w:val="left" w:pos="-1440" w:leader="none"/>
          <w:tab w:val="left" w:pos="-720" w:leader="none"/>
          <w:tab w:val="left" w:pos="0" w:leader="none"/>
          <w:tab w:val="left" w:pos="720" w:leader="none"/>
          <w:tab w:val="left" w:pos="1872" w:leader="none"/>
          <w:tab w:val="left" w:pos="2160" w:leader="none"/>
        </w:tabs>
        <w:suppressAutoHyphens w:val="true"/>
        <w:ind w:hanging="1872" w:start="1872" w:end="0"/>
        <w:jc w:val="both"/>
        <w:rPr>
          <w:sz w:val="22"/>
        </w:rPr>
      </w:pPr>
      <w:r>
        <w:rPr>
          <w:sz w:val="22"/>
        </w:rPr>
      </w:r>
    </w:p>
    <w:p>
      <w:pPr>
        <w:pStyle w:val="Normal"/>
        <w:tabs>
          <w:tab w:val="left" w:pos="-1440" w:leader="none"/>
          <w:tab w:val="left" w:pos="-720" w:leader="none"/>
          <w:tab w:val="left" w:pos="0" w:leader="none"/>
          <w:tab w:val="left" w:pos="720" w:leader="none"/>
          <w:tab w:val="left" w:pos="1872" w:leader="none"/>
          <w:tab w:val="left" w:pos="2160" w:leader="none"/>
        </w:tabs>
        <w:suppressAutoHyphens w:val="true"/>
        <w:ind w:hanging="1872" w:start="1872" w:end="0"/>
        <w:jc w:val="both"/>
        <w:rPr>
          <w:sz w:val="22"/>
        </w:rPr>
      </w:pPr>
      <w:r>
        <w:rPr>
          <w:sz w:val="22"/>
        </w:rPr>
        <w:tab/>
        <w:t>(iv)</w:t>
        <w:tab/>
        <w:t>Section 5(b)(iii) is hereby amended by adding the words “or reorganizing, reincorporating, or reconstituting into or as,” in the eighth line thereof after the words “its assets to,”.</w:t>
      </w:r>
    </w:p>
    <w:p>
      <w:pPr>
        <w:pStyle w:val="Normal"/>
        <w:spacing w:before="480" w:after="0"/>
        <w:jc w:val="both"/>
        <w:rPr>
          <w:b/>
          <w:bCs/>
          <w:color w:val="000000"/>
          <w:sz w:val="22"/>
          <w:szCs w:val="22"/>
        </w:rPr>
      </w:pPr>
      <w:r>
        <w:rPr>
          <w:b/>
          <w:bCs/>
          <w:color w:val="000000"/>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Normal"/>
        <w:ind w:firstLine="720" w:end="0"/>
        <w:jc w:val="both"/>
        <w:rPr/>
      </w:pPr>
      <w:r>
        <w:rPr>
          <w:color w:val="000000"/>
          <w:sz w:val="22"/>
          <w:szCs w:val="22"/>
        </w:rPr>
        <w:t>(a)</w:t>
        <w:tab/>
      </w:r>
      <w:r>
        <w:rPr>
          <w:b/>
          <w:bCs/>
          <w:color w:val="000000"/>
          <w:sz w:val="22"/>
          <w:szCs w:val="22"/>
        </w:rPr>
        <w:t xml:space="preserve">Scope, Definitions and Inconsistencies.  </w:t>
      </w:r>
      <w:r>
        <w:rPr>
          <w:color w:val="000000"/>
          <w:sz w:val="22"/>
        </w:rPr>
        <w:t xml:space="preserve">The terms and conditions of this Part 6 shall apply only to a Transaction which is:  (a) a Transaction that is a Commodity swap transaction, cross-commodity swap transaction, commodity cap transaction, commodity floor transaction, commodity collar transaction, commodity option transaction or any other similar Transaction (including any Option with respect to any of these Transactions); (b) a combination of these Transactions; or (c) any other Transaction identified as a Commodity Transaction in the related Confirmation.  Any such Transaction shall constitute a “Transaction” for the purposes of this Agreement but shall be referred to in this Part 6 as a “Commodity Transaction”.  </w:t>
      </w:r>
      <w:r>
        <w:rPr>
          <w:color w:val="000000"/>
          <w:sz w:val="22"/>
          <w:szCs w:val="22"/>
        </w:rPr>
        <w:t xml:space="preserve">The 1993 ISDA Commodity Derivatives Definitions, as amended, supplemented, replaced or modified from time to time, (the “Commodity Definitions”) are incorporated by reference in this Part 6 and any Confirmation of a Commodity Transaction.  All terms used in this Part 6 that are not otherwise defined shall have the meanings given to them in the Commodity Definitions.  </w:t>
      </w:r>
      <w:r>
        <w:rPr>
          <w:color w:val="000000"/>
          <w:sz w:val="22"/>
        </w:rPr>
        <w:t>In the event of any inconsistencies, the parts of this Agreement shall rank as follows and the relevant term in the highest ranking document shall prevail:  (i) the Confirmation; (ii) this Part 6 of this Schedule; (iii) the remainder of this Schedule; (iv) the printed form of the ISDA Master Agreement; (v) the Commodity Definitions; and (vi) the Definitions.</w:t>
      </w:r>
    </w:p>
    <w:p>
      <w:pPr>
        <w:pStyle w:val="Normal"/>
        <w:ind w:firstLine="720" w:end="0"/>
        <w:jc w:val="both"/>
        <w:rPr>
          <w:color w:val="000000"/>
          <w:sz w:val="22"/>
          <w:szCs w:val="22"/>
        </w:rPr>
      </w:pPr>
      <w:r>
        <w:rPr>
          <w:color w:val="000000"/>
          <w:sz w:val="22"/>
          <w:szCs w:val="22"/>
        </w:rPr>
      </w:r>
    </w:p>
    <w:p>
      <w:pPr>
        <w:pStyle w:val="Normal"/>
        <w:ind w:firstLine="720" w:end="0"/>
        <w:jc w:val="both"/>
        <w:rPr/>
      </w:pPr>
      <w:r>
        <w:rPr>
          <w:color w:val="000000"/>
          <w:sz w:val="22"/>
          <w:szCs w:val="22"/>
        </w:rPr>
        <w:t>(b)</w:t>
        <w:tab/>
      </w:r>
      <w:r>
        <w:rPr>
          <w:b/>
          <w:bCs/>
          <w:color w:val="000000"/>
          <w:sz w:val="22"/>
          <w:szCs w:val="22"/>
        </w:rPr>
        <w:t xml:space="preserve">Market Disruption Events.  </w:t>
      </w:r>
      <w:r>
        <w:rPr>
          <w:color w:val="000000"/>
          <w:sz w:val="22"/>
          <w:szCs w:val="22"/>
        </w:rPr>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color w:val="000000"/>
          <w:sz w:val="22"/>
          <w:szCs w:val="22"/>
        </w:rPr>
      </w:pPr>
      <w:r>
        <w:rPr>
          <w:color w:val="000000"/>
          <w:sz w:val="22"/>
          <w:szCs w:val="22"/>
        </w:rPr>
      </w:r>
    </w:p>
    <w:p>
      <w:pPr>
        <w:pStyle w:val="Normal"/>
        <w:ind w:firstLine="720" w:end="0"/>
        <w:jc w:val="both"/>
        <w:rPr/>
      </w:pPr>
      <w:r>
        <w:rPr>
          <w:color w:val="000000"/>
          <w:sz w:val="22"/>
          <w:szCs w:val="22"/>
        </w:rPr>
        <w:t>(c)</w:t>
        <w:tab/>
      </w:r>
      <w:r>
        <w:rPr>
          <w:b/>
          <w:bCs/>
          <w:color w:val="000000"/>
          <w:sz w:val="22"/>
          <w:szCs w:val="22"/>
        </w:rPr>
        <w:t xml:space="preserve">Commodity Definitions.  </w:t>
      </w:r>
      <w:r>
        <w:rPr>
          <w:color w:val="000000"/>
          <w:sz w:val="22"/>
          <w:szCs w:val="22"/>
        </w:rPr>
        <w:t>Section 7.4(c)(viii) of the Commodity Definitions is hereby amended by the addition of the following at the end thereof:</w:t>
      </w:r>
    </w:p>
    <w:p>
      <w:pPr>
        <w:pStyle w:val="Normal"/>
        <w:ind w:firstLine="720" w:end="0"/>
        <w:jc w:val="both"/>
        <w:rPr>
          <w:color w:val="000000"/>
          <w:sz w:val="22"/>
          <w:szCs w:val="22"/>
        </w:rPr>
      </w:pPr>
      <w:r>
        <w:rPr>
          <w:color w:val="000000"/>
          <w:sz w:val="22"/>
          <w:szCs w:val="22"/>
        </w:rPr>
      </w:r>
    </w:p>
    <w:p>
      <w:pPr>
        <w:pStyle w:val="Normal"/>
        <w:ind w:firstLine="720" w:start="720" w:end="0"/>
        <w:jc w:val="both"/>
        <w:rPr>
          <w:color w:val="000000"/>
          <w:sz w:val="22"/>
          <w:szCs w:val="22"/>
        </w:rPr>
      </w:pPr>
      <w:r>
        <w:rPr>
          <w:color w:val="000000"/>
          <w:sz w:val="22"/>
          <w:szCs w:val="22"/>
        </w:rPr>
        <w:t>“</w:t>
      </w:r>
      <w:r>
        <w:rPr>
          <w:color w:val="000000"/>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Section 7.5(e) of the Commodity Definitions is hereby deleted.</w:t>
      </w:r>
    </w:p>
    <w:p>
      <w:pPr>
        <w:pStyle w:val="Normal"/>
        <w:ind w:firstLine="720" w:end="0"/>
        <w:jc w:val="both"/>
        <w:rPr>
          <w:color w:val="000000"/>
          <w:sz w:val="22"/>
          <w:szCs w:val="22"/>
        </w:rPr>
      </w:pPr>
      <w:r>
        <w:rPr>
          <w:color w:val="000000"/>
          <w:sz w:val="22"/>
          <w:szCs w:val="22"/>
        </w:rPr>
      </w:r>
    </w:p>
    <w:p>
      <w:pPr>
        <w:pStyle w:val="Normal"/>
        <w:ind w:firstLine="720" w:end="0"/>
        <w:jc w:val="both"/>
        <w:rPr/>
      </w:pPr>
      <w:r>
        <w:rPr>
          <w:color w:val="000000"/>
          <w:sz w:val="22"/>
          <w:szCs w:val="22"/>
        </w:rPr>
        <w:t>(d)</w:t>
        <w:tab/>
      </w:r>
      <w:r>
        <w:rPr>
          <w:b/>
          <w:bCs/>
          <w:color w:val="000000"/>
          <w:sz w:val="22"/>
          <w:szCs w:val="22"/>
        </w:rPr>
        <w:t xml:space="preserve">Additional Market Disruption Events.  </w:t>
      </w:r>
      <w:r>
        <w:rPr>
          <w:color w:val="000000"/>
          <w:sz w:val="22"/>
          <w:szCs w:val="22"/>
        </w:rPr>
        <w:t>“Additional Market Disruption Events” shall apply only if so specified in the relevant Confirmation.</w:t>
      </w:r>
    </w:p>
    <w:p>
      <w:pPr>
        <w:pStyle w:val="Normal"/>
        <w:ind w:firstLine="720" w:end="0"/>
        <w:jc w:val="both"/>
        <w:rPr>
          <w:color w:val="000000"/>
          <w:sz w:val="22"/>
          <w:szCs w:val="22"/>
        </w:rPr>
      </w:pPr>
      <w:r>
        <w:rPr>
          <w:color w:val="000000"/>
          <w:sz w:val="22"/>
          <w:szCs w:val="22"/>
        </w:rPr>
      </w:r>
    </w:p>
    <w:p>
      <w:pPr>
        <w:pStyle w:val="BodyTextIndent2"/>
        <w:widowControl/>
        <w:tabs>
          <w:tab w:val="clear" w:pos="1350"/>
        </w:tabs>
        <w:rPr/>
      </w:pPr>
      <w:r>
        <w:rPr>
          <w:rFonts w:cs="Times New Roman" w:ascii="Times New Roman" w:hAnsi="Times New Roman"/>
          <w:color w:val="000000"/>
        </w:rPr>
        <w:t>(e)</w:t>
        <w:tab/>
      </w:r>
      <w:r>
        <w:rPr>
          <w:rFonts w:cs="Times New Roman" w:ascii="Times New Roman" w:hAnsi="Times New Roman"/>
          <w:b/>
          <w:bCs/>
          <w:color w:val="000000"/>
        </w:rPr>
        <w:t xml:space="preserve">Disruption Fallbacks.  </w:t>
      </w:r>
      <w:r>
        <w:rPr>
          <w:rFonts w:cs="Times New Roman" w:ascii="Times New Roman" w:hAnsi="Times New Roman"/>
          <w:color w:val="000000"/>
        </w:rPr>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color w:val="000000"/>
          <w:sz w:val="22"/>
          <w:szCs w:val="22"/>
        </w:rPr>
      </w:pPr>
      <w:r>
        <w:rPr>
          <w:rFonts w:cs="Times New Roman"/>
          <w:color w:val="000000"/>
          <w:sz w:val="22"/>
          <w:szCs w:val="22"/>
        </w:rPr>
      </w:r>
    </w:p>
    <w:p>
      <w:pPr>
        <w:pStyle w:val="BlockText"/>
        <w:ind w:hanging="720" w:start="1440" w:end="720"/>
        <w:rPr>
          <w:color w:val="000000"/>
        </w:rPr>
      </w:pPr>
      <w:r>
        <w:rPr>
          <w:color w:val="000000"/>
        </w:rPr>
        <w:t>(i)</w:t>
        <w:tab/>
        <w:t>“Fallback Reference Price” (if the relevant parties have specified an alternate Commodity Reference Price in the Confirmation);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w:t>
        <w:tab/>
        <w:t>“Negotiated Fallback” (provided that the reference in Section 7.5(c)(ii) to “fifth Business Day” shall be amended to be “twelfth Business Day”); and</w:t>
      </w:r>
    </w:p>
    <w:p>
      <w:pPr>
        <w:pStyle w:val="Normal"/>
        <w:ind w:hanging="720" w:start="1440" w:end="72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(iii)</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color w:val="000000"/>
          <w:sz w:val="22"/>
          <w:szCs w:val="22"/>
        </w:rPr>
      </w:pPr>
      <w:r>
        <w:rPr>
          <w:color w:val="000000"/>
          <w:sz w:val="22"/>
          <w:szCs w:val="22"/>
        </w:rPr>
      </w:r>
    </w:p>
    <w:p>
      <w:pPr>
        <w:pStyle w:val="Normal"/>
        <w:ind w:firstLine="720" w:end="0"/>
        <w:jc w:val="both"/>
        <w:rPr/>
      </w:pPr>
      <w:r>
        <w:rPr>
          <w:sz w:val="22"/>
        </w:rPr>
        <w:t xml:space="preserve">(f)  </w:t>
        <w:tab/>
      </w:r>
      <w:r>
        <w:rPr>
          <w:b/>
          <w:bCs/>
          <w:sz w:val="22"/>
        </w:rPr>
        <w:t xml:space="preserve">Rounding.  </w:t>
      </w:r>
      <w:r>
        <w:rPr>
          <w:sz w:val="22"/>
        </w:rPr>
        <w:t>The following rounding conventions shall apply for the purpose of calculating the Floating Price(s) with respect to applicable Transactions.  Floating Price(s) relating to Commodities quoted (i) in gallons shall be rounded to five places, (ii) in MMBtus shall be rounded to four places, (iii) in barrels shall be rounded to three places, (iv) in gigajoules shall be rounded to four places, (v) in liters shall be rounded to five decimal places, and (vi) in electric power units shall be rounded to three places.  If the number after the final number is five or greater, then the final number shall be increased by one, and if the number after the final number is less than five then the final number shall remain unchanged.</w:t>
      </w:r>
    </w:p>
    <w:p>
      <w:pPr>
        <w:pStyle w:val="Normal"/>
        <w:jc w:val="both"/>
        <w:rPr>
          <w:sz w:val="22"/>
        </w:rPr>
      </w:pPr>
      <w:r>
        <w:rPr>
          <w:sz w:val="22"/>
        </w:rPr>
      </w:r>
    </w:p>
    <w:p>
      <w:pPr>
        <w:pStyle w:val="Normal"/>
        <w:ind w:firstLine="720" w:end="0"/>
        <w:jc w:val="both"/>
        <w:rPr>
          <w:color w:val="000000"/>
          <w:sz w:val="22"/>
          <w:szCs w:val="22"/>
        </w:rPr>
      </w:pPr>
      <w:r>
        <w:rPr>
          <w:color w:val="000000"/>
          <w:sz w:val="22"/>
          <w:szCs w:val="22"/>
        </w:rPr>
        <w:t>(g)</w:t>
        <w:tab/>
      </w:r>
      <w:r>
        <w:rPr>
          <w:b/>
          <w:bCs/>
          <w:color w:val="000000"/>
          <w:sz w:val="22"/>
          <w:szCs w:val="22"/>
        </w:rPr>
        <w:t xml:space="preserve">Corrections to Published Prices.  </w:t>
      </w:r>
      <w:r>
        <w:rPr>
          <w:color w:val="000000"/>
          <w:sz w:val="22"/>
          <w:szCs w:val="22"/>
        </w:rPr>
        <w:t xml:space="preserve">For purposes of any Transaction in which paper or pulp is the relevant Commodity, the phrase “within 30 calendar days” in line 5 of Section 7.3 of the Commodity Definitions shall be replaced by the phrase “within 40 calendar days.”  </w:t>
      </w:r>
      <w:r>
        <w:rPr>
          <w:sz w:val="22"/>
        </w:rPr>
        <w:t>For purposes of any Transaction in which electric power is the relevant Commodity, the phrase “within 30 calendar days” in line 5 of Section 7.3 of the Commodity Definitions shall be replaced by the phrase “within 365 calendar days.”</w:t>
      </w:r>
    </w:p>
    <w:p>
      <w:pPr>
        <w:pStyle w:val="Normal"/>
        <w:ind w:firstLine="720" w:end="0"/>
        <w:jc w:val="both"/>
        <w:rPr>
          <w:color w:val="000000"/>
          <w:sz w:val="22"/>
          <w:szCs w:val="22"/>
        </w:rPr>
      </w:pPr>
      <w:r>
        <w:rPr>
          <w:color w:val="000000"/>
          <w:sz w:val="22"/>
          <w:szCs w:val="22"/>
        </w:rPr>
      </w:r>
    </w:p>
    <w:p>
      <w:pPr>
        <w:pStyle w:val="Normal"/>
        <w:ind w:firstLine="720" w:end="0"/>
        <w:jc w:val="both"/>
        <w:rPr/>
      </w:pPr>
      <w:r>
        <w:rPr>
          <w:color w:val="000000"/>
          <w:sz w:val="22"/>
          <w:szCs w:val="22"/>
        </w:rPr>
        <w:t>(h)</w:t>
        <w:tab/>
      </w:r>
      <w:r>
        <w:rPr>
          <w:b/>
          <w:bCs/>
          <w:color w:val="000000"/>
          <w:sz w:val="22"/>
          <w:szCs w:val="22"/>
        </w:rPr>
        <w:t xml:space="preserve">Illiquid Transactions.  </w:t>
      </w:r>
      <w:r>
        <w:rPr>
          <w:color w:val="000000"/>
          <w:sz w:val="22"/>
          <w:szCs w:val="22"/>
        </w:rPr>
        <w:t>For purposes of any Transaction in which the relevant Commodity is traded in a market that is less liquid than other OTC derivatives markets, each of the parties recognize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any party for entering into, modifying, or terminating a Transaction, although based upon what such party believes to be a commercially reasonable valuation methodology, may be different than if this market were more mature and liquid; and (iv) any valuations which may be provided by any party  do not necessarily reflect such party’s internal bookkeeping or theoretical model-based valuations of the Transaction and may reflect other factors, including without limitation the creditworthiness of a counterparty, costs of carry, use of capital, and profit.</w:t>
      </w:r>
      <w:r>
        <w:br w:type="page"/>
      </w:r>
    </w:p>
    <w:p>
      <w:pPr>
        <w:pStyle w:val="Header"/>
        <w:widowControl/>
        <w:jc w:val="both"/>
        <w:rPr>
          <w:color w:val="000000"/>
          <w:sz w:val="22"/>
          <w:szCs w:val="22"/>
        </w:rPr>
      </w:pPr>
      <w:r>
        <w:rPr>
          <w:color w:val="000000"/>
          <w:sz w:val="22"/>
          <w:szCs w:val="22"/>
        </w:rPr>
      </w:r>
    </w:p>
    <w:p>
      <w:pPr>
        <w:pStyle w:val="Heading5"/>
        <w:ind w:hanging="0" w:start="0"/>
        <w:jc w:val="both"/>
        <w:rPr/>
      </w:pPr>
      <w:r>
        <w:rPr>
          <w:b/>
          <w:bCs/>
          <w:szCs w:val="22"/>
        </w:rPr>
        <w:t xml:space="preserve">Part 7.  Assignment of Certain Transactions.  </w:t>
      </w:r>
      <w:r>
        <w:rPr/>
        <w:t>Enron North America Corp. (“ENA”) does hereby assign to Party A all of its right, title and interest in and to any and all financial derivative transactions entered into between ENA and Party B as of the date hereof.  Party A and Party B each acknowledge and agree that (i) the terms and conditions contained in this Agreement amend and replace in their entirety the General Terms and Conditions Financial posted on the Website (below defined) that had previously governed such transactions; (ii) this Agreement shall be a master agreement between Party A and Party B referred to in Section 3 of the Electronic Trading Agreement among ENA, on behalf of it and its affiliates, and Party B posted on the website or other internet-based electronic trading facility (the “Website”) established by Enron Online, LLC or its affiliates; and (iii) such transactions shall be considered Transactions hereunder.</w:t>
      </w:r>
    </w:p>
    <w:p>
      <w:pPr>
        <w:pStyle w:val="Heading5"/>
        <w:ind w:hanging="0" w:start="0"/>
        <w:jc w:val="both"/>
        <w:rPr/>
      </w:pPr>
      <w:r>
        <w:rPr/>
      </w:r>
    </w:p>
    <w:p>
      <w:pPr>
        <w:pStyle w:val="Heading5"/>
        <w:ind w:hanging="0" w:start="0"/>
        <w:jc w:val="both"/>
        <w:rPr/>
      </w:pPr>
      <w:r>
        <w:rPr/>
        <w:t>E</w:t>
      </w:r>
      <w:r>
        <w:rPr>
          <w:color w:val="000000"/>
        </w:rPr>
        <w:t>XECUTED effective as of the date first written above.</w:t>
      </w:r>
    </w:p>
    <w:p>
      <w:pPr>
        <w:pStyle w:val="Normal"/>
        <w:jc w:val="both"/>
        <w:rPr>
          <w:color w:val="000000"/>
          <w:sz w:val="22"/>
          <w:szCs w:val="22"/>
        </w:rPr>
      </w:pPr>
      <w:r>
        <w:rPr>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000000"/>
                <w:sz w:val="22"/>
                <w:szCs w:val="22"/>
              </w:rPr>
            </w:pPr>
            <w:r>
              <w:rPr>
                <w:b/>
                <w:bCs/>
                <w:color w:val="000000"/>
                <w:sz w:val="22"/>
                <w:szCs w:val="22"/>
              </w:rPr>
              <w:t>ENRON CANADA CORP.</w:t>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tabs>
                <w:tab w:val="clear" w:pos="720"/>
                <w:tab w:val="left" w:pos="4320" w:leader="none"/>
              </w:tabs>
              <w:spacing w:lineRule="exact" w:line="240"/>
              <w:jc w:val="both"/>
              <w:rPr>
                <w:color w:val="000000"/>
                <w:sz w:val="22"/>
                <w:szCs w:val="22"/>
              </w:rPr>
            </w:pPr>
            <w:r>
              <w:rPr>
                <w:color w:val="000000"/>
                <w:sz w:val="22"/>
                <w:szCs w:val="22"/>
              </w:rPr>
              <w:t xml:space="preserve">Title:    </w:t>
            </w:r>
            <w:r>
              <w:rPr>
                <w:color w:val="000000"/>
                <w:sz w:val="22"/>
                <w:szCs w:val="22"/>
                <w:u w:val="single"/>
              </w:rPr>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c>
          <w:tcPr>
            <w:tcW w:w="4788" w:type="dxa"/>
            <w:tcBorders/>
          </w:tcPr>
          <w:p>
            <w:pPr>
              <w:pStyle w:val="Normal"/>
              <w:keepNext w:val="true"/>
              <w:spacing w:lineRule="exact" w:line="240"/>
              <w:jc w:val="both"/>
              <w:rPr>
                <w:color w:val="000000"/>
                <w:sz w:val="22"/>
                <w:szCs w:val="22"/>
              </w:rPr>
            </w:pPr>
            <w:r>
              <w:rPr>
                <w:b/>
                <w:bCs/>
                <w:color w:val="000000"/>
                <w:sz w:val="22"/>
                <w:szCs w:val="22"/>
              </w:rPr>
              <w:t>ONTARIO POWER GENERATION INC.</w:t>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spacing w:lineRule="exact" w:line="240"/>
              <w:jc w:val="both"/>
              <w:rPr/>
            </w:pPr>
            <w:r>
              <w:rPr>
                <w:color w:val="000000"/>
                <w:sz w:val="22"/>
                <w:szCs w:val="22"/>
              </w:rPr>
              <w:t>Title:</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spacing w:lineRule="exact" w:line="240"/>
              <w:jc w:val="both"/>
              <w:rPr>
                <w:color w:val="000000"/>
                <w:sz w:val="22"/>
                <w:szCs w:val="22"/>
              </w:rPr>
            </w:pPr>
            <w:r>
              <w:rPr>
                <w:color w:val="000000"/>
                <w:sz w:val="22"/>
                <w:szCs w:val="22"/>
              </w:rPr>
            </w:r>
          </w:p>
        </w:tc>
        <w:tc>
          <w:tcPr>
            <w:tcW w:w="4788" w:type="dxa"/>
            <w:tcBorders/>
          </w:tcPr>
          <w:p>
            <w:pPr>
              <w:pStyle w:val="Normal"/>
              <w:snapToGrid w:val="false"/>
              <w:spacing w:lineRule="exact" w:line="240"/>
              <w:jc w:val="both"/>
              <w:rPr>
                <w:color w:val="000000"/>
                <w:sz w:val="22"/>
                <w:szCs w:val="22"/>
              </w:rPr>
            </w:pPr>
            <w:r>
              <w:rPr>
                <w:color w:val="000000"/>
                <w:sz w:val="22"/>
                <w:szCs w:val="22"/>
              </w:rPr>
            </w:r>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p>
      <w:pPr>
        <w:pStyle w:val="Normal"/>
        <w:tabs>
          <w:tab w:val="clear" w:pos="720"/>
          <w:tab w:val="left" w:pos="2880" w:leader="none"/>
        </w:tabs>
        <w:spacing w:lineRule="exact" w:line="240"/>
        <w:ind w:hanging="2880" w:start="2880" w:end="0"/>
        <w:jc w:val="both"/>
        <w:rPr>
          <w:b/>
          <w:bCs/>
          <w:color w:val="000000"/>
          <w:sz w:val="22"/>
          <w:szCs w:val="22"/>
        </w:rPr>
      </w:pPr>
      <w:r>
        <w:rPr>
          <w:b/>
          <w:bCs/>
          <w:color w:val="000000"/>
          <w:sz w:val="22"/>
          <w:szCs w:val="22"/>
        </w:rPr>
        <w:t>ENRON NORTH AMERICA CORP.</w:t>
      </w:r>
    </w:p>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t>Joining herein for the purposes stated in Part 7.</w:t>
      </w:r>
    </w:p>
    <w:p>
      <w:pPr>
        <w:pStyle w:val="Normal"/>
        <w:tabs>
          <w:tab w:val="clear" w:pos="720"/>
          <w:tab w:val="left" w:pos="2880" w:leader="none"/>
        </w:tabs>
        <w:spacing w:lineRule="exact" w:line="240"/>
        <w:ind w:hanging="2880" w:start="2880" w:end="0"/>
        <w:jc w:val="both"/>
        <w:rPr>
          <w:b/>
          <w:bCs/>
          <w:color w:val="000000"/>
          <w:sz w:val="22"/>
          <w:szCs w:val="22"/>
        </w:rPr>
      </w:pPr>
      <w:r>
        <w:rPr>
          <w:b/>
          <w:bCs/>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tabs>
          <w:tab w:val="clear" w:pos="720"/>
          <w:tab w:val="left" w:pos="4320" w:leader="none"/>
        </w:tabs>
        <w:spacing w:lineRule="exact" w:line="240"/>
        <w:jc w:val="both"/>
        <w:rPr>
          <w:color w:val="000000"/>
          <w:sz w:val="22"/>
          <w:szCs w:val="22"/>
        </w:rPr>
      </w:pPr>
      <w:r>
        <w:rPr>
          <w:color w:val="000000"/>
          <w:sz w:val="22"/>
          <w:szCs w:val="22"/>
        </w:rPr>
        <w:t xml:space="preserve">Title:    </w:t>
      </w:r>
      <w:r>
        <w:rPr>
          <w:color w:val="000000"/>
          <w:sz w:val="22"/>
          <w:szCs w:val="22"/>
          <w:u w:val="single"/>
        </w:rPr>
        <w:tab/>
      </w:r>
    </w:p>
    <w:p>
      <w:pPr>
        <w:pStyle w:val="Normal"/>
        <w:tabs>
          <w:tab w:val="clear" w:pos="720"/>
          <w:tab w:val="left" w:pos="2880" w:leader="none"/>
        </w:tabs>
        <w:spacing w:lineRule="exact" w:line="240"/>
        <w:ind w:hanging="2880" w:start="2880" w:end="0"/>
        <w:jc w:val="both"/>
        <w:rPr>
          <w:b/>
          <w:bCs/>
          <w:color w:val="000000"/>
          <w:sz w:val="22"/>
          <w:szCs w:val="22"/>
        </w:rPr>
      </w:pPr>
      <w:r>
        <w:rPr>
          <w:color w:val="000000"/>
          <w:sz w:val="22"/>
          <w:szCs w:val="22"/>
        </w:rPr>
        <w:t xml:space="preserve">Date:     </w:t>
      </w:r>
      <w:r>
        <w:rPr>
          <w:color w:val="000000"/>
          <w:sz w:val="22"/>
          <w:szCs w:val="22"/>
          <w:u w:val="single"/>
        </w:rPr>
        <w:tab/>
        <w:tab/>
        <w:tab/>
      </w:r>
    </w:p>
    <w:p>
      <w:pPr>
        <w:pStyle w:val="Normal"/>
        <w:tabs>
          <w:tab w:val="clear" w:pos="720"/>
          <w:tab w:val="left" w:pos="2880" w:leader="none"/>
        </w:tabs>
        <w:spacing w:lineRule="exact" w:line="240"/>
        <w:ind w:hanging="2880" w:start="2880" w:end="0"/>
        <w:jc w:val="both"/>
        <w:rPr>
          <w:b/>
          <w:bCs/>
          <w:color w:val="000000"/>
          <w:sz w:val="22"/>
          <w:szCs w:val="22"/>
        </w:rPr>
      </w:pPr>
      <w:r>
        <w:rPr>
          <w:b/>
          <w:bCs/>
          <w:color w:val="000000"/>
          <w:sz w:val="22"/>
          <w:szCs w:val="22"/>
        </w:rPr>
      </w:r>
    </w:p>
    <w:p>
      <w:pPr>
        <w:pStyle w:val="Normal"/>
        <w:tabs>
          <w:tab w:val="clear" w:pos="720"/>
          <w:tab w:val="left" w:pos="2880" w:leader="none"/>
        </w:tabs>
        <w:spacing w:lineRule="exact" w:line="240"/>
        <w:ind w:hanging="2880" w:start="2880" w:end="0"/>
        <w:jc w:val="both"/>
        <w:rPr>
          <w:b/>
          <w:bCs/>
          <w:color w:val="000000"/>
          <w:sz w:val="22"/>
          <w:szCs w:val="22"/>
        </w:rPr>
      </w:pPr>
      <w:r>
        <w:rPr>
          <w:b/>
          <w:bCs/>
          <w:color w:val="000000"/>
          <w:sz w:val="22"/>
          <w:szCs w:val="22"/>
        </w:rPr>
      </w:r>
    </w:p>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EXHIBIT A</w:t>
        <w:tab/>
        <w:t>FORM OF GUARANTY (PARTY A)</w:t>
      </w:r>
    </w:p>
    <w:p>
      <w:pPr>
        <w:pStyle w:val="Normal"/>
        <w:jc w:val="center"/>
        <w:rPr>
          <w:b/>
          <w:bCs/>
          <w:color w:val="000000"/>
          <w:sz w:val="22"/>
          <w:szCs w:val="22"/>
          <w:u w:val="single"/>
        </w:rPr>
      </w:pPr>
      <w:r>
        <w:rPr>
          <w:b/>
          <w:bCs/>
          <w:color w:val="000000"/>
          <w:sz w:val="22"/>
          <w:szCs w:val="22"/>
          <w:u w:val="single"/>
        </w:rPr>
        <w:t>PARAGRAPH 13</w:t>
      </w:r>
    </w:p>
    <w:p>
      <w:pPr>
        <w:pStyle w:val="Normal"/>
        <w:jc w:val="center"/>
        <w:rPr>
          <w:b/>
          <w:bCs/>
          <w:color w:val="000000"/>
          <w:sz w:val="22"/>
          <w:szCs w:val="22"/>
        </w:rPr>
      </w:pPr>
      <w:r>
        <w:rPr>
          <w:b/>
          <w:bCs/>
          <w:color w:val="000000"/>
          <w:sz w:val="22"/>
          <w:szCs w:val="22"/>
        </w:rPr>
        <w:t>to the</w:t>
      </w:r>
    </w:p>
    <w:p>
      <w:pPr>
        <w:pStyle w:val="Normal"/>
        <w:jc w:val="center"/>
        <w:rPr>
          <w:b/>
          <w:bCs/>
          <w:color w:val="000000"/>
          <w:sz w:val="22"/>
          <w:szCs w:val="22"/>
        </w:rPr>
      </w:pPr>
      <w:r>
        <w:rPr>
          <w:b/>
          <w:bCs/>
          <w:color w:val="000000"/>
          <w:sz w:val="22"/>
          <w:szCs w:val="22"/>
        </w:rPr>
        <w:t>ISDA CREDIT SUPPORT ANNEX</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dated as of October __, 2000</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ENRON CANADA CORP., a corporation organized under the law of the Province of Alberta (“Party A”), and</w:t>
            </w:r>
          </w:p>
        </w:tc>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ONTARIO POWER GENERATION INC., a corporation organized under the law of the Province of Ontario (“Party B”)</w:t>
            </w:r>
          </w:p>
        </w:tc>
      </w:tr>
    </w:tbl>
    <w:p>
      <w:pPr>
        <w:pStyle w:val="Justified"/>
        <w:spacing w:before="0" w:after="0"/>
        <w:rPr>
          <w:rFonts w:ascii="Times New Roman" w:hAnsi="Times New Roman" w:cs="Times New Roman"/>
          <w:color w:val="000000"/>
        </w:rPr>
      </w:pPr>
      <w:r>
        <w:rPr>
          <w:rFonts w:cs="Times New Roman" w:ascii="Times New Roman" w:hAnsi="Times New Roman"/>
          <w:color w:val="000000"/>
        </w:rPr>
      </w:r>
    </w:p>
    <w:p>
      <w:pPr>
        <w:pStyle w:val="Heading2"/>
        <w:spacing w:before="0" w:after="0"/>
        <w:ind w:hanging="0" w:end="0"/>
        <w:rPr>
          <w:rFonts w:ascii="Times New Roman" w:hAnsi="Times New Roman" w:cs="Times New Roman"/>
          <w:color w:val="000000"/>
        </w:rPr>
      </w:pPr>
      <w:r>
        <w:rPr>
          <w:rFonts w:cs="Times New Roman" w:ascii="Times New Roman" w:hAnsi="Times New Roman"/>
          <w:color w:val="000000"/>
        </w:rPr>
      </w:r>
    </w:p>
    <w:p>
      <w:pPr>
        <w:pStyle w:val="Normal"/>
        <w:jc w:val="both"/>
        <w:rPr>
          <w:color w:val="000000"/>
          <w:sz w:val="22"/>
          <w:szCs w:val="22"/>
        </w:rPr>
      </w:pPr>
      <w:r>
        <w:rPr>
          <w:b/>
          <w:bCs/>
          <w:color w:val="000000"/>
          <w:sz w:val="22"/>
          <w:szCs w:val="22"/>
        </w:rPr>
        <w:t>Paragraph 13.  Elections and Variables.</w:t>
      </w:r>
    </w:p>
    <w:p>
      <w:pPr>
        <w:pStyle w:val="Normal"/>
        <w:jc w:val="both"/>
        <w:rPr>
          <w:color w:val="000000"/>
          <w:sz w:val="22"/>
          <w:szCs w:val="22"/>
        </w:rPr>
      </w:pPr>
      <w:r>
        <w:rPr>
          <w:color w:val="000000"/>
          <w:sz w:val="22"/>
          <w:szCs w:val="22"/>
        </w:rPr>
      </w:r>
    </w:p>
    <w:p>
      <w:pPr>
        <w:pStyle w:val="Normal"/>
        <w:ind w:hanging="720" w:start="720" w:end="0"/>
        <w:jc w:val="both"/>
        <w:rPr/>
      </w:pPr>
      <w:r>
        <w:rPr>
          <w:color w:val="000000"/>
          <w:sz w:val="22"/>
          <w:szCs w:val="22"/>
        </w:rPr>
        <w:t>(a)</w:t>
        <w:tab/>
      </w:r>
      <w:r>
        <w:rPr>
          <w:b/>
          <w:bCs/>
          <w:color w:val="000000"/>
          <w:sz w:val="22"/>
          <w:szCs w:val="22"/>
        </w:rPr>
        <w:t>Security Interest for “Obligations”.</w:t>
      </w:r>
      <w:r>
        <w:rPr>
          <w:color w:val="000000"/>
          <w:sz w:val="22"/>
          <w:szCs w:val="22"/>
        </w:rPr>
        <w:t xml:space="preserve">  The term “</w:t>
      </w:r>
      <w:r>
        <w:rPr>
          <w:b/>
          <w:bCs/>
          <w:color w:val="000000"/>
          <w:sz w:val="22"/>
          <w:szCs w:val="22"/>
        </w:rPr>
        <w:t>Obligations”</w:t>
      </w:r>
      <w:r>
        <w:rPr>
          <w:color w:val="000000"/>
          <w:sz w:val="22"/>
          <w:szCs w:val="22"/>
        </w:rPr>
        <w:t xml:space="preserve"> as used in this Annex includes the following additional obligations:</w:t>
      </w:r>
    </w:p>
    <w:p>
      <w:pPr>
        <w:pStyle w:val="Normal"/>
        <w:ind w:hanging="360" w:start="36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A:  None.</w:t>
      </w:r>
    </w:p>
    <w:p>
      <w:pPr>
        <w:pStyle w:val="Normal"/>
        <w:ind w:start="63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B:  None.</w:t>
      </w:r>
    </w:p>
    <w:p>
      <w:pPr>
        <w:pStyle w:val="Normal"/>
        <w:ind w:hanging="720" w:start="720" w:end="0"/>
        <w:jc w:val="both"/>
        <w:rPr>
          <w:color w:val="000000"/>
          <w:sz w:val="22"/>
          <w:szCs w:val="22"/>
        </w:rPr>
      </w:pPr>
      <w:r>
        <w:rPr>
          <w:color w:val="000000"/>
          <w:sz w:val="22"/>
          <w:szCs w:val="22"/>
        </w:rPr>
      </w:r>
    </w:p>
    <w:p>
      <w:pPr>
        <w:pStyle w:val="Normal"/>
        <w:ind w:hanging="360" w:start="360" w:end="0"/>
        <w:jc w:val="both"/>
        <w:rPr/>
      </w:pPr>
      <w:r>
        <w:rPr>
          <w:color w:val="000000"/>
          <w:sz w:val="22"/>
          <w:szCs w:val="22"/>
        </w:rPr>
        <w:t>(b)</w:t>
        <w:tab/>
      </w:r>
      <w:r>
        <w:rPr>
          <w:b/>
          <w:bCs/>
          <w:color w:val="000000"/>
          <w:sz w:val="22"/>
          <w:szCs w:val="22"/>
        </w:rPr>
        <w:t>Credit Support Obligations.</w:t>
      </w:r>
    </w:p>
    <w:p>
      <w:pPr>
        <w:pStyle w:val="Normal"/>
        <w:ind w:hanging="720" w:start="720" w:end="0"/>
        <w:jc w:val="both"/>
        <w:rPr>
          <w:b/>
          <w:bCs/>
          <w:color w:val="000000"/>
          <w:sz w:val="22"/>
          <w:szCs w:val="22"/>
        </w:rPr>
      </w:pPr>
      <w:r>
        <w:rPr>
          <w:b/>
          <w:bCs/>
          <w:color w:val="000000"/>
          <w:sz w:val="22"/>
          <w:szCs w:val="22"/>
        </w:rPr>
      </w:r>
    </w:p>
    <w:p>
      <w:pPr>
        <w:pStyle w:val="Normal"/>
        <w:ind w:start="720" w:end="0"/>
        <w:jc w:val="both"/>
        <w:rPr>
          <w:color w:val="000000"/>
          <w:sz w:val="22"/>
          <w:szCs w:val="22"/>
        </w:rPr>
      </w:pPr>
      <w:r>
        <w:rPr>
          <w:color w:val="000000"/>
          <w:sz w:val="22"/>
          <w:szCs w:val="22"/>
        </w:rPr>
        <w:t xml:space="preserve">(i)  </w:t>
      </w:r>
      <w:r>
        <w:rPr>
          <w:b/>
          <w:bCs/>
          <w:color w:val="000000"/>
          <w:sz w:val="22"/>
          <w:szCs w:val="22"/>
        </w:rPr>
        <w:t>Delivery Amount, Return Amount, and Credit Support Amount.</w:t>
      </w:r>
    </w:p>
    <w:p>
      <w:pPr>
        <w:pStyle w:val="Normal"/>
        <w:ind w:hanging="1260" w:start="144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(A) </w:t>
      </w:r>
      <w:r>
        <w:rPr>
          <w:b/>
          <w:bCs/>
          <w:color w:val="000000"/>
          <w:sz w:val="22"/>
          <w:szCs w:val="22"/>
        </w:rPr>
        <w:t>“Delivery Amount”</w:t>
      </w:r>
      <w:r>
        <w:rPr>
          <w:color w:val="000000"/>
          <w:sz w:val="22"/>
          <w:szCs w:val="22"/>
        </w:rPr>
        <w:t xml:space="preserve"> has the meaning specified in Paragraph 3(a).</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(B) </w:t>
      </w:r>
      <w:r>
        <w:rPr>
          <w:b/>
          <w:bCs/>
          <w:color w:val="000000"/>
          <w:sz w:val="22"/>
          <w:szCs w:val="22"/>
        </w:rPr>
        <w:t>“Return Amount”</w:t>
      </w:r>
      <w:r>
        <w:rPr>
          <w:color w:val="000000"/>
          <w:sz w:val="22"/>
          <w:szCs w:val="22"/>
        </w:rPr>
        <w:t xml:space="preserve"> has the meaning specified in Paragraph 3(b).</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b/>
          <w:bCs/>
          <w:color w:val="000000"/>
          <w:sz w:val="22"/>
          <w:szCs w:val="22"/>
        </w:rPr>
      </w:pPr>
      <w:r>
        <w:rPr>
          <w:color w:val="000000"/>
          <w:sz w:val="22"/>
          <w:szCs w:val="22"/>
        </w:rPr>
        <w:t xml:space="preserve">(C) </w:t>
      </w:r>
      <w:r>
        <w:rPr>
          <w:b/>
          <w:bCs/>
          <w:color w:val="000000"/>
          <w:sz w:val="22"/>
          <w:szCs w:val="22"/>
        </w:rPr>
        <w:t>“Credit Support Amount”</w:t>
      </w:r>
      <w:r>
        <w:rPr>
          <w:color w:val="000000"/>
          <w:sz w:val="22"/>
          <w:szCs w:val="22"/>
        </w:rPr>
        <w:t xml:space="preserve"> will mean the higher of (i) the amount calculated as provided in the definition of that term in Paragraph 3 and (ii) the sum of the Pledgor’s Independent Amounts;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(ii)  </w:t>
      </w:r>
      <w:r>
        <w:rPr>
          <w:b/>
          <w:bCs/>
          <w:color w:val="000000"/>
          <w:sz w:val="22"/>
          <w:szCs w:val="22"/>
        </w:rPr>
        <w:t>Eligible Collateral.</w:t>
      </w:r>
      <w:r>
        <w:rPr>
          <w:color w:val="000000"/>
          <w:sz w:val="22"/>
          <w:szCs w:val="22"/>
        </w:rPr>
        <w:t xml:space="preserve">  The following items will qualify as</w:t>
      </w:r>
      <w:r>
        <w:rPr>
          <w:b/>
          <w:bCs/>
          <w:color w:val="000000"/>
          <w:sz w:val="22"/>
          <w:szCs w:val="22"/>
        </w:rPr>
        <w:t xml:space="preserve"> “Eligible Collateral”</w:t>
      </w:r>
      <w:r>
        <w:rPr/>
        <w:t xml:space="preserve"> for the party specified.</w:t>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color w:val="000000"/>
                <w:sz w:val="22"/>
                <w:szCs w:val="22"/>
              </w:rPr>
            </w:pPr>
            <w:r>
              <w:rPr>
                <w:b/>
                <w:bCs/>
                <w:color w:val="000000"/>
                <w:sz w:val="22"/>
                <w:szCs w:val="22"/>
              </w:rPr>
            </w:r>
          </w:p>
        </w:tc>
        <w:tc>
          <w:tcPr>
            <w:tcW w:w="2880" w:type="dxa"/>
            <w:tcBorders/>
          </w:tcPr>
          <w:p>
            <w:pPr>
              <w:pStyle w:val="Normal"/>
              <w:keepNext w:val="true"/>
              <w:keepLines/>
              <w:snapToGrid w:val="false"/>
              <w:jc w:val="center"/>
              <w:rPr>
                <w:b/>
                <w:bCs/>
                <w:color w:val="000000"/>
                <w:sz w:val="22"/>
                <w:szCs w:val="22"/>
              </w:rPr>
            </w:pPr>
            <w:r>
              <w:rPr>
                <w:b/>
                <w:bCs/>
                <w:color w:val="000000"/>
                <w:sz w:val="22"/>
                <w:szCs w:val="22"/>
              </w:rPr>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tc>
        <w:tc>
          <w:tcPr>
            <w:tcW w:w="1365"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630" w:type="dxa"/>
            <w:tcBorders/>
          </w:tcPr>
          <w:p>
            <w:pPr>
              <w:pStyle w:val="Normal"/>
              <w:jc w:val="both"/>
              <w:rPr>
                <w:color w:val="000000"/>
                <w:sz w:val="22"/>
                <w:szCs w:val="22"/>
              </w:rPr>
            </w:pPr>
            <w:r>
              <w:rPr>
                <w:color w:val="000000"/>
                <w:sz w:val="22"/>
                <w:szCs w:val="22"/>
              </w:rPr>
              <w:t>(A)</w:t>
            </w:r>
          </w:p>
        </w:tc>
        <w:tc>
          <w:tcPr>
            <w:tcW w:w="2880" w:type="dxa"/>
            <w:tcBorders/>
          </w:tcPr>
          <w:p>
            <w:pPr>
              <w:pStyle w:val="Normal"/>
              <w:rPr>
                <w:color w:val="000000"/>
                <w:sz w:val="22"/>
                <w:szCs w:val="22"/>
              </w:rPr>
            </w:pPr>
            <w:r>
              <w:rPr>
                <w:color w:val="000000"/>
                <w:sz w:val="22"/>
                <w:szCs w:val="22"/>
              </w:rPr>
              <w:t>Cash</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100%</w:t>
            </w:r>
          </w:p>
        </w:tc>
      </w:tr>
      <w:tr>
        <w:trPr/>
        <w:tc>
          <w:tcPr>
            <w:tcW w:w="630" w:type="dxa"/>
            <w:tcBorders/>
          </w:tcPr>
          <w:p>
            <w:pPr>
              <w:pStyle w:val="Normal"/>
              <w:jc w:val="both"/>
              <w:rPr>
                <w:color w:val="000000"/>
                <w:sz w:val="22"/>
                <w:szCs w:val="22"/>
              </w:rPr>
            </w:pPr>
            <w:r>
              <w:rPr>
                <w:color w:val="000000"/>
                <w:sz w:val="22"/>
                <w:szCs w:val="22"/>
              </w:rPr>
              <w:t>(B)</w:t>
            </w:r>
          </w:p>
        </w:tc>
        <w:tc>
          <w:tcPr>
            <w:tcW w:w="2880" w:type="dxa"/>
            <w:tcBorders/>
          </w:tcPr>
          <w:p>
            <w:pPr>
              <w:pStyle w:val="Normal"/>
              <w:rPr>
                <w:color w:val="000000"/>
                <w:sz w:val="22"/>
                <w:szCs w:val="22"/>
              </w:rPr>
            </w:pPr>
            <w:r>
              <w:rPr>
                <w:color w:val="000000"/>
                <w:sz w:val="22"/>
                <w:szCs w:val="22"/>
              </w:rPr>
              <w:t>Negotiable debt obligations issued by the U.S. Treasury Department having an original maturity at issuance of not more than one year (“Government Obligations”)</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98%</w:t>
            </w:r>
          </w:p>
        </w:tc>
      </w:tr>
      <w:tr>
        <w:trPr/>
        <w:tc>
          <w:tcPr>
            <w:tcW w:w="630" w:type="dxa"/>
            <w:tcBorders/>
          </w:tcPr>
          <w:p>
            <w:pPr>
              <w:pStyle w:val="Normal"/>
              <w:jc w:val="both"/>
              <w:rPr>
                <w:color w:val="000000"/>
                <w:sz w:val="22"/>
                <w:szCs w:val="22"/>
              </w:rPr>
            </w:pPr>
            <w:r>
              <w:rPr>
                <w:color w:val="000000"/>
                <w:sz w:val="22"/>
                <w:szCs w:val="22"/>
              </w:rPr>
              <w:t>(C)</w:t>
            </w:r>
          </w:p>
        </w:tc>
        <w:tc>
          <w:tcPr>
            <w:tcW w:w="2880" w:type="dxa"/>
            <w:tcBorders/>
          </w:tcPr>
          <w:p>
            <w:pPr>
              <w:pStyle w:val="Normal"/>
              <w:rPr>
                <w:color w:val="000000"/>
                <w:sz w:val="22"/>
                <w:szCs w:val="22"/>
              </w:rPr>
            </w:pPr>
            <w:r>
              <w:rPr>
                <w:color w:val="000000"/>
                <w:sz w:val="22"/>
                <w:szCs w:val="22"/>
              </w:rPr>
              <w:t>Other:</w:t>
              <w:tab/>
              <w:t>None</w:t>
            </w:r>
          </w:p>
        </w:tc>
        <w:tc>
          <w:tcPr>
            <w:tcW w:w="1440" w:type="dxa"/>
            <w:tcBorders/>
          </w:tcPr>
          <w:p>
            <w:pPr>
              <w:pStyle w:val="Normal"/>
              <w:snapToGrid w:val="false"/>
              <w:jc w:val="center"/>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365" w:type="dxa"/>
            <w:tcBorders/>
          </w:tcPr>
          <w:p>
            <w:pPr>
              <w:pStyle w:val="Normal"/>
              <w:snapToGrid w:val="false"/>
              <w:jc w:val="center"/>
              <w:rPr>
                <w:color w:val="000000"/>
                <w:sz w:val="22"/>
                <w:szCs w:val="22"/>
              </w:rPr>
            </w:pPr>
            <w:r>
              <w:rPr>
                <w:color w:val="000000"/>
                <w:sz w:val="22"/>
                <w:szCs w:val="22"/>
              </w:rPr>
            </w:r>
          </w:p>
        </w:tc>
      </w:tr>
    </w:tbl>
    <w:p>
      <w:pPr>
        <w:pStyle w:val="Normal"/>
        <w:ind w:start="1440" w:end="0"/>
        <w:jc w:val="both"/>
        <w:rPr>
          <w:color w:val="000000"/>
          <w:sz w:val="22"/>
          <w:szCs w:val="22"/>
        </w:rPr>
      </w:pPr>
      <w:r>
        <w:rPr>
          <w:color w:val="000000"/>
          <w:sz w:val="22"/>
          <w:szCs w:val="22"/>
        </w:rPr>
      </w:r>
    </w:p>
    <w:p>
      <w:pPr>
        <w:pStyle w:val="Normal"/>
        <w:ind w:start="720" w:end="0"/>
        <w:jc w:val="both"/>
        <w:rPr>
          <w:b/>
          <w:bCs/>
          <w:color w:val="000000"/>
          <w:sz w:val="22"/>
          <w:szCs w:val="22"/>
        </w:rPr>
      </w:pPr>
      <w:r>
        <w:rPr>
          <w:color w:val="000000"/>
          <w:sz w:val="22"/>
          <w:szCs w:val="22"/>
        </w:rPr>
        <w:t xml:space="preserve">(iii)  </w:t>
      </w:r>
      <w:r>
        <w:rPr>
          <w:b/>
          <w:bCs/>
          <w:color w:val="000000"/>
          <w:sz w:val="22"/>
          <w:szCs w:val="22"/>
        </w:rPr>
        <w:t>Other Eligible Support.</w:t>
      </w:r>
      <w:r>
        <w:rPr>
          <w:color w:val="000000"/>
          <w:sz w:val="22"/>
          <w:szCs w:val="22"/>
        </w:rPr>
        <w:t xml:space="preserve">  The following items will qualify as </w:t>
      </w:r>
      <w:r>
        <w:rPr>
          <w:b/>
          <w:bCs/>
          <w:color w:val="000000"/>
          <w:sz w:val="22"/>
          <w:szCs w:val="22"/>
        </w:rPr>
        <w:t>“Other Eligible Support”</w:t>
      </w:r>
      <w:r>
        <w:rPr>
          <w:color w:val="000000"/>
          <w:sz w:val="22"/>
          <w:szCs w:val="22"/>
        </w:rPr>
        <w:t xml:space="preserve"> for the party specified:</w:t>
      </w:r>
    </w:p>
    <w:p>
      <w:pPr>
        <w:pStyle w:val="Normal"/>
        <w:ind w:start="1440" w:end="0"/>
        <w:jc w:val="both"/>
        <w:rPr>
          <w:b/>
          <w:bCs/>
          <w:color w:val="000000"/>
          <w:sz w:val="22"/>
          <w:szCs w:val="22"/>
        </w:rPr>
      </w:pPr>
      <w:r>
        <w:rPr>
          <w:b/>
          <w:bCs/>
          <w:color w:val="000000"/>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color w:val="000000"/>
              </w:rPr>
            </w:pPr>
            <w:r>
              <w:rPr>
                <w:rFonts w:cs="Times New Roman" w:ascii="Times New Roman" w:hAnsi="Times New Roman"/>
                <w:color w:val="000000"/>
              </w:rPr>
            </w:r>
          </w:p>
        </w:tc>
        <w:tc>
          <w:tcPr>
            <w:tcW w:w="1440" w:type="dxa"/>
            <w:tcBorders/>
          </w:tcPr>
          <w:p>
            <w:pPr>
              <w:pStyle w:val="Normal"/>
              <w:keepNext w:val="true"/>
              <w:keepLines/>
              <w:snapToGrid w:val="false"/>
              <w:jc w:val="center"/>
              <w:rPr>
                <w:rFonts w:ascii="Times New Roman" w:hAnsi="Times New Roman" w:cs="Times New Roman"/>
                <w:b/>
                <w:bCs/>
                <w:color w:val="000000"/>
                <w:sz w:val="22"/>
                <w:szCs w:val="22"/>
              </w:rPr>
            </w:pPr>
            <w:r>
              <w:rPr>
                <w:rFonts w:cs="Times New Roman"/>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p>
            <w:pPr>
              <w:pStyle w:val="Normal"/>
              <w:keepNext w:val="true"/>
              <w:keepLines/>
              <w:jc w:val="center"/>
              <w:rPr>
                <w:b/>
                <w:bCs/>
                <w:color w:val="000000"/>
                <w:sz w:val="22"/>
                <w:szCs w:val="22"/>
              </w:rPr>
            </w:pPr>
            <w:r>
              <w:rPr>
                <w:b/>
                <w:bCs/>
                <w:color w:val="000000"/>
                <w:sz w:val="22"/>
                <w:szCs w:val="22"/>
              </w:rPr>
            </w:r>
          </w:p>
        </w:tc>
        <w:tc>
          <w:tcPr>
            <w:tcW w:w="1644"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p>
            <w:pPr>
              <w:pStyle w:val="Normal"/>
              <w:keepNext w:val="true"/>
              <w:keepLines/>
              <w:jc w:val="center"/>
              <w:rPr>
                <w:b/>
                <w:bCs/>
                <w:color w:val="000000"/>
                <w:sz w:val="22"/>
                <w:szCs w:val="22"/>
              </w:rPr>
            </w:pPr>
            <w:r>
              <w:rPr>
                <w:b/>
                <w:bCs/>
                <w:color w:val="000000"/>
                <w:sz w:val="22"/>
                <w:szCs w:val="22"/>
              </w:rPr>
            </w:r>
          </w:p>
        </w:tc>
        <w:tc>
          <w:tcPr>
            <w:tcW w:w="3757"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1800" w:type="dxa"/>
            <w:tcBorders/>
          </w:tcPr>
          <w:p>
            <w:pPr>
              <w:pStyle w:val="Normal"/>
              <w:keepNext w:val="true"/>
              <w:keepLines/>
              <w:jc w:val="both"/>
              <w:rPr>
                <w:color w:val="000000"/>
                <w:sz w:val="22"/>
                <w:szCs w:val="22"/>
              </w:rPr>
            </w:pPr>
            <w:r>
              <w:rPr>
                <w:color w:val="000000"/>
                <w:sz w:val="22"/>
                <w:szCs w:val="22"/>
              </w:rPr>
              <w:t>Letters of Credit</w:t>
            </w:r>
          </w:p>
        </w:tc>
        <w:tc>
          <w:tcPr>
            <w:tcW w:w="1440" w:type="dxa"/>
            <w:tcBorders/>
          </w:tcPr>
          <w:p>
            <w:pPr>
              <w:pStyle w:val="Normal"/>
              <w:keepNext w:val="true"/>
              <w:keepLines/>
              <w:jc w:val="center"/>
              <w:rPr>
                <w:color w:val="000000"/>
                <w:sz w:val="22"/>
                <w:szCs w:val="22"/>
              </w:rPr>
            </w:pPr>
            <w:r>
              <w:rPr>
                <w:color w:val="000000"/>
                <w:sz w:val="22"/>
                <w:szCs w:val="22"/>
              </w:rPr>
              <w:t>[X]</w:t>
            </w:r>
          </w:p>
        </w:tc>
        <w:tc>
          <w:tcPr>
            <w:tcW w:w="1644" w:type="dxa"/>
            <w:tcBorders/>
          </w:tcPr>
          <w:p>
            <w:pPr>
              <w:pStyle w:val="Normal"/>
              <w:keepNext w:val="true"/>
              <w:keepLines/>
              <w:jc w:val="center"/>
              <w:rPr>
                <w:color w:val="000000"/>
                <w:sz w:val="22"/>
                <w:szCs w:val="22"/>
              </w:rPr>
            </w:pPr>
            <w:r>
              <w:rPr>
                <w:color w:val="000000"/>
                <w:sz w:val="22"/>
                <w:szCs w:val="22"/>
              </w:rPr>
              <w:t>[X]</w:t>
            </w:r>
          </w:p>
        </w:tc>
        <w:tc>
          <w:tcPr>
            <w:tcW w:w="3757" w:type="dxa"/>
            <w:tcBorders/>
          </w:tcPr>
          <w:p>
            <w:pPr>
              <w:pStyle w:val="Normal"/>
              <w:keepNext w:val="true"/>
              <w:keepLines/>
              <w:rPr>
                <w:color w:val="000000"/>
                <w:sz w:val="22"/>
                <w:szCs w:val="22"/>
              </w:rPr>
            </w:pPr>
            <w:r>
              <w:rPr>
                <w:color w:val="000000"/>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(iv)  </w:t>
      </w:r>
      <w:r>
        <w:rPr>
          <w:b/>
          <w:bCs/>
          <w:color w:val="000000"/>
          <w:sz w:val="22"/>
          <w:szCs w:val="22"/>
        </w:rPr>
        <w:t>Thresholds.</w:t>
      </w:r>
    </w:p>
    <w:p>
      <w:pPr>
        <w:pStyle w:val="Normal"/>
        <w:ind w:hanging="720" w:start="144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(A)  </w:t>
      </w:r>
      <w:r>
        <w:rPr>
          <w:b/>
          <w:bCs/>
          <w:color w:val="000000"/>
          <w:sz w:val="22"/>
          <w:szCs w:val="22"/>
        </w:rPr>
        <w:t>“Independent Amount”</w:t>
      </w:r>
      <w:r>
        <w:rPr>
          <w:color w:val="000000"/>
          <w:sz w:val="22"/>
          <w:szCs w:val="22"/>
        </w:rPr>
        <w:t xml:space="preserve"> means with respect to a party, the amount specified as such for that party in each Confirmation, or if no amount is specified, zero.</w:t>
      </w:r>
    </w:p>
    <w:p>
      <w:pPr>
        <w:pStyle w:val="Normal"/>
        <w:ind w:start="720" w:end="0"/>
        <w:jc w:val="both"/>
        <w:rPr>
          <w:color w:val="000000"/>
          <w:sz w:val="22"/>
          <w:szCs w:val="22"/>
        </w:rPr>
      </w:pPr>
      <w:r>
        <w:rPr>
          <w:color w:val="000000"/>
          <w:sz w:val="22"/>
          <w:szCs w:val="22"/>
        </w:rPr>
      </w:r>
    </w:p>
    <w:p>
      <w:pPr>
        <w:pStyle w:val="Normal"/>
        <w:ind w:start="720" w:end="0"/>
        <w:jc w:val="both"/>
        <w:rPr>
          <w:spacing w:val="-3"/>
          <w:sz w:val="22"/>
        </w:rPr>
      </w:pPr>
      <w:r>
        <w:rPr>
          <w:color w:val="000000"/>
          <w:sz w:val="22"/>
          <w:szCs w:val="22"/>
        </w:rPr>
        <w:t xml:space="preserve">(B)  </w:t>
      </w:r>
      <w:r>
        <w:rPr>
          <w:b/>
          <w:bCs/>
          <w:color w:val="000000"/>
          <w:sz w:val="22"/>
          <w:szCs w:val="22"/>
        </w:rPr>
        <w:t>“Threshold”</w:t>
      </w:r>
      <w:r>
        <w:rPr>
          <w:color w:val="000000"/>
          <w:sz w:val="22"/>
          <w:szCs w:val="22"/>
        </w:rPr>
        <w:t xml:space="preserve"> </w:t>
      </w:r>
      <w:r>
        <w:rPr>
          <w:sz w:val="22"/>
        </w:rPr>
        <w:t xml:space="preserve">means with respect to Party A, as of any date, the lesser of the applicable amounts set forth in the Threshold Grid shown below and the limit (if any) in the amount guaranteed by Party A’s Credit Support Provider.  The applicable amount set forth in the Threshold Grid as of any date shall be the amount shown in the relevant row of the Threshold Grid based on the lowest of the DBRS, S&amp;P or Moody’s ratings, then applicable to Party A’s Credit Support Provider.  If only one debt rating is available, then the relevant Threshold shall be the amount set forth opposite such debt rating in the Threshold Grid.  Notwithstanding the foregoing, in the event that any guarantee provided by Party A’s Credit Support Provider expires or is cancelled, or a Specified Condition, Event of Default or Potential Event of Default exists with respect to Party A, Threshold means zero with respect to Party A. </w:t>
      </w:r>
    </w:p>
    <w:p>
      <w:pPr>
        <w:pStyle w:val="Normal"/>
        <w:ind w:start="2160" w:end="0"/>
        <w:jc w:val="both"/>
        <w:rPr>
          <w:spacing w:val="-3"/>
          <w:sz w:val="22"/>
        </w:rPr>
      </w:pPr>
      <w:r>
        <w:rPr>
          <w:spacing w:val="-3"/>
          <w:sz w:val="22"/>
        </w:rPr>
      </w:r>
    </w:p>
    <w:p>
      <w:pPr>
        <w:pStyle w:val="Normal"/>
        <w:ind w:start="720" w:end="0"/>
        <w:jc w:val="both"/>
        <w:rPr>
          <w:spacing w:val="-3"/>
          <w:sz w:val="22"/>
        </w:rPr>
      </w:pPr>
      <w:r>
        <w:rPr>
          <w:rFonts w:cs="CG Times (W1);Arial Unicode MS" w:ascii="CG Times (W1);Arial Unicode MS" w:hAnsi="CG Times (W1);Arial Unicode MS"/>
          <w:b/>
          <w:iCs/>
          <w:spacing w:val="-3"/>
          <w:sz w:val="22"/>
        </w:rPr>
        <w:t>“</w:t>
      </w:r>
      <w:r>
        <w:rPr>
          <w:b/>
          <w:iCs/>
          <w:sz w:val="22"/>
        </w:rPr>
        <w:t>Threshold”</w:t>
      </w:r>
      <w:r>
        <w:rPr>
          <w:sz w:val="22"/>
        </w:rPr>
        <w:t xml:space="preserve"> means with respect to Party B, as of any date, the applicable amount set forth in the Threshold Grid shown below.  The applicable amount set forth in the Threshold Grid as of any date shall be the amount shown in the relevant row of the Threshold Grid based on the lowest of the DBRS, S&amp;P or Moody’s ratings, then applicable to Party B.  If only one debt rating is available, then the relevant Threshold shall be the amount set forth opposite such debt rating in the Threshold Grid.  Notwithstanding the foregoing, in the event that a Specified Condition, Event of Default or Potential Event of Default exists with respect to Party B, Threshold means zero with respect to Party B. </w:t>
      </w:r>
    </w:p>
    <w:p>
      <w:pPr>
        <w:pStyle w:val="Normal"/>
        <w:ind w:hanging="630" w:start="2160" w:end="0"/>
        <w:rPr>
          <w:b/>
          <w:bCs/>
          <w:color w:val="000000"/>
          <w:spacing w:val="-3"/>
          <w:sz w:val="22"/>
          <w:szCs w:val="22"/>
        </w:rPr>
      </w:pPr>
      <w:r>
        <w:rPr>
          <w:b/>
          <w:bCs/>
          <w:color w:val="000000"/>
          <w:spacing w:val="-3"/>
          <w:sz w:val="22"/>
          <w:szCs w:val="22"/>
        </w:rPr>
      </w:r>
    </w:p>
    <w:p>
      <w:pPr>
        <w:pStyle w:val="Normal"/>
        <w:ind w:hanging="630" w:start="2160" w:end="0"/>
        <w:rPr>
          <w:b/>
          <w:bCs/>
          <w:color w:val="000000"/>
          <w:sz w:val="22"/>
          <w:szCs w:val="22"/>
        </w:rPr>
      </w:pPr>
      <w:r>
        <w:rPr>
          <w:b/>
          <w:bCs/>
          <w:color w:val="000000"/>
          <w:sz w:val="22"/>
          <w:szCs w:val="22"/>
        </w:rPr>
        <w:t>Threshold Grid</w:t>
      </w:r>
    </w:p>
    <w:p>
      <w:pPr>
        <w:pStyle w:val="Normal"/>
        <w:ind w:hanging="630" w:start="2160" w:end="0"/>
        <w:rPr>
          <w:b/>
          <w:bCs/>
          <w:color w:val="000000"/>
          <w:sz w:val="22"/>
          <w:szCs w:val="22"/>
        </w:rPr>
      </w:pPr>
      <w:r>
        <w:rPr>
          <w:b/>
          <w:bCs/>
          <w:color w:val="000000"/>
          <w:sz w:val="22"/>
          <w:szCs w:val="22"/>
        </w:rPr>
      </w:r>
    </w:p>
    <w:tbl>
      <w:tblPr>
        <w:tblW w:w="9811" w:type="dxa"/>
        <w:jc w:val="start"/>
        <w:tblInd w:w="285" w:type="dxa"/>
        <w:tblLayout w:type="fixed"/>
        <w:tblCellMar>
          <w:top w:w="15" w:type="dxa"/>
          <w:start w:w="15" w:type="dxa"/>
          <w:bottom w:w="0" w:type="dxa"/>
          <w:end w:w="15" w:type="dxa"/>
        </w:tblCellMar>
      </w:tblPr>
      <w:tblGrid>
        <w:gridCol w:w="1859"/>
        <w:gridCol w:w="1390"/>
        <w:gridCol w:w="1407"/>
        <w:gridCol w:w="2320"/>
        <w:gridCol w:w="2835"/>
      </w:tblGrid>
      <w:tr>
        <w:trPr>
          <w:trHeight w:val="255" w:hRule="atLeast"/>
        </w:trPr>
        <w:tc>
          <w:tcPr>
            <w:tcW w:w="4656" w:type="dxa"/>
            <w:gridSpan w:val="3"/>
            <w:tcBorders>
              <w:top w:val="single" w:sz="4" w:space="0" w:color="000000"/>
              <w:start w:val="single" w:sz="4" w:space="0" w:color="000000"/>
            </w:tcBorders>
            <w:vAlign w:val="bottom"/>
          </w:tcPr>
          <w:p>
            <w:pPr>
              <w:pStyle w:val="Normal"/>
              <w:jc w:val="center"/>
              <w:rPr>
                <w:rFonts w:ascii="Arial" w:hAnsi="Arial" w:eastAsia="Arial Unicode MS" w:cs="Arial"/>
                <w:b/>
                <w:bCs/>
              </w:rPr>
            </w:pPr>
            <w:r>
              <w:rPr>
                <w:rFonts w:cs="Arial" w:ascii="Arial" w:hAnsi="Arial"/>
                <w:b/>
                <w:bCs/>
              </w:rPr>
              <w:t>Sr. Unsecured Debt Ratings by</w:t>
            </w:r>
          </w:p>
        </w:tc>
        <w:tc>
          <w:tcPr>
            <w:tcW w:w="2320" w:type="dxa"/>
            <w:tcBorders>
              <w:top w:val="single" w:sz="4" w:space="0" w:color="000000"/>
            </w:tcBorders>
            <w:vAlign w:val="bottom"/>
          </w:tcPr>
          <w:p>
            <w:pPr>
              <w:pStyle w:val="Normal"/>
              <w:jc w:val="center"/>
              <w:rPr>
                <w:rFonts w:ascii="Arial" w:hAnsi="Arial" w:eastAsia="Arial Unicode MS" w:cs="Arial"/>
                <w:b/>
                <w:bCs/>
              </w:rPr>
            </w:pPr>
            <w:r>
              <w:rPr>
                <w:rFonts w:cs="Arial" w:ascii="Arial" w:hAnsi="Arial"/>
                <w:b/>
                <w:bCs/>
              </w:rPr>
              <w:t>Party B</w:t>
            </w:r>
          </w:p>
        </w:tc>
        <w:tc>
          <w:tcPr>
            <w:tcW w:w="2835" w:type="dxa"/>
            <w:tcBorders>
              <w:top w:val="single" w:sz="4" w:space="0" w:color="000000"/>
              <w:end w:val="single" w:sz="4" w:space="0" w:color="000000"/>
            </w:tcBorders>
            <w:vAlign w:val="bottom"/>
          </w:tcPr>
          <w:p>
            <w:pPr>
              <w:pStyle w:val="Normal"/>
              <w:jc w:val="center"/>
              <w:rPr>
                <w:rFonts w:ascii="Arial" w:hAnsi="Arial" w:eastAsia="Arial Unicode MS" w:cs="Arial"/>
                <w:b/>
                <w:bCs/>
              </w:rPr>
            </w:pPr>
            <w:r>
              <w:rPr>
                <w:rFonts w:cs="Arial" w:ascii="Arial" w:hAnsi="Arial"/>
                <w:b/>
                <w:bCs/>
              </w:rPr>
              <w:t>Party A</w:t>
            </w:r>
          </w:p>
        </w:tc>
      </w:tr>
      <w:tr>
        <w:trPr>
          <w:trHeight w:val="255" w:hRule="atLeast"/>
        </w:trPr>
        <w:tc>
          <w:tcPr>
            <w:tcW w:w="1859" w:type="dxa"/>
            <w:tcBorders>
              <w:start w:val="single" w:sz="4" w:space="0" w:color="000000"/>
              <w:bottom w:val="single" w:sz="4" w:space="0" w:color="000000"/>
            </w:tcBorders>
            <w:vAlign w:val="bottom"/>
          </w:tcPr>
          <w:p>
            <w:pPr>
              <w:pStyle w:val="Normal"/>
              <w:rPr>
                <w:rFonts w:ascii="Arial" w:hAnsi="Arial" w:eastAsia="Arial Unicode MS" w:cs="Arial"/>
                <w:b/>
                <w:bCs/>
              </w:rPr>
            </w:pPr>
            <w:r>
              <w:rPr>
                <w:rFonts w:cs="Arial" w:ascii="Arial" w:hAnsi="Arial"/>
                <w:b/>
                <w:bCs/>
              </w:rPr>
              <w:t>DBRS</w:t>
            </w:r>
          </w:p>
        </w:tc>
        <w:tc>
          <w:tcPr>
            <w:tcW w:w="1390" w:type="dxa"/>
            <w:tcBorders>
              <w:bottom w:val="single" w:sz="4" w:space="0" w:color="000000"/>
            </w:tcBorders>
            <w:vAlign w:val="bottom"/>
          </w:tcPr>
          <w:p>
            <w:pPr>
              <w:pStyle w:val="Normal"/>
              <w:rPr>
                <w:rFonts w:ascii="Arial" w:hAnsi="Arial" w:eastAsia="Arial Unicode MS" w:cs="Arial"/>
                <w:b/>
                <w:bCs/>
              </w:rPr>
            </w:pPr>
            <w:r>
              <w:rPr>
                <w:rFonts w:cs="Arial" w:ascii="Arial" w:hAnsi="Arial"/>
                <w:b/>
                <w:bCs/>
              </w:rPr>
              <w:t>S&amp;P</w:t>
            </w:r>
          </w:p>
        </w:tc>
        <w:tc>
          <w:tcPr>
            <w:tcW w:w="1407" w:type="dxa"/>
            <w:tcBorders>
              <w:bottom w:val="single" w:sz="4" w:space="0" w:color="000000"/>
            </w:tcBorders>
            <w:vAlign w:val="bottom"/>
          </w:tcPr>
          <w:p>
            <w:pPr>
              <w:pStyle w:val="Normal"/>
              <w:rPr>
                <w:rFonts w:ascii="Arial" w:hAnsi="Arial" w:eastAsia="Arial Unicode MS" w:cs="Arial"/>
                <w:b/>
                <w:bCs/>
              </w:rPr>
            </w:pPr>
            <w:r>
              <w:rPr>
                <w:rFonts w:cs="Arial" w:ascii="Arial" w:hAnsi="Arial"/>
                <w:b/>
                <w:bCs/>
              </w:rPr>
              <w:t>Moody's</w:t>
            </w:r>
          </w:p>
        </w:tc>
        <w:tc>
          <w:tcPr>
            <w:tcW w:w="2320" w:type="dxa"/>
            <w:tcBorders>
              <w:bottom w:val="single" w:sz="4" w:space="0" w:color="000000"/>
            </w:tcBorders>
            <w:vAlign w:val="bottom"/>
          </w:tcPr>
          <w:p>
            <w:pPr>
              <w:pStyle w:val="Normal"/>
              <w:jc w:val="end"/>
              <w:rPr>
                <w:rFonts w:ascii="Arial" w:hAnsi="Arial" w:eastAsia="Arial Unicode MS" w:cs="Arial"/>
                <w:b/>
                <w:bCs/>
              </w:rPr>
            </w:pPr>
            <w:r>
              <w:rPr>
                <w:rFonts w:cs="Arial" w:ascii="Arial" w:hAnsi="Arial"/>
                <w:b/>
                <w:bCs/>
              </w:rPr>
              <w:t>Threshold Amount USD</w:t>
            </w:r>
          </w:p>
        </w:tc>
        <w:tc>
          <w:tcPr>
            <w:tcW w:w="2835" w:type="dxa"/>
            <w:tcBorders>
              <w:bottom w:val="single" w:sz="4" w:space="0" w:color="000000"/>
            </w:tcBorders>
            <w:vAlign w:val="bottom"/>
          </w:tcPr>
          <w:p>
            <w:pPr>
              <w:pStyle w:val="Normal"/>
              <w:jc w:val="end"/>
              <w:rPr>
                <w:rFonts w:ascii="Arial" w:hAnsi="Arial" w:eastAsia="Arial Unicode MS" w:cs="Arial"/>
                <w:b/>
                <w:bCs/>
              </w:rPr>
            </w:pPr>
            <w:r>
              <w:rPr>
                <w:rFonts w:cs="Arial" w:ascii="Arial" w:hAnsi="Arial"/>
                <w:b/>
                <w:bCs/>
              </w:rPr>
              <w:t>Threshold Amount USD</w:t>
            </w:r>
          </w:p>
        </w:tc>
      </w:tr>
      <w:tr>
        <w:trPr>
          <w:trHeight w:val="255" w:hRule="atLeast"/>
        </w:trPr>
        <w:tc>
          <w:tcPr>
            <w:tcW w:w="1859" w:type="dxa"/>
            <w:tcBorders>
              <w:start w:val="single" w:sz="4" w:space="0" w:color="000000"/>
            </w:tcBorders>
            <w:vAlign w:val="bottom"/>
          </w:tcPr>
          <w:p>
            <w:pPr>
              <w:pStyle w:val="Normal"/>
              <w:rPr>
                <w:rFonts w:ascii="Arial" w:hAnsi="Arial" w:eastAsia="Arial Unicode MS" w:cs="Arial"/>
              </w:rPr>
            </w:pPr>
            <w:r>
              <w:rPr>
                <w:rFonts w:cs="Arial" w:ascii="Arial" w:hAnsi="Arial"/>
              </w:rPr>
              <w:t>AA and above</w:t>
            </w:r>
          </w:p>
        </w:tc>
        <w:tc>
          <w:tcPr>
            <w:tcW w:w="1390" w:type="dxa"/>
            <w:tcBorders/>
            <w:vAlign w:val="bottom"/>
          </w:tcPr>
          <w:p>
            <w:pPr>
              <w:pStyle w:val="Normal"/>
              <w:rPr>
                <w:rFonts w:ascii="Arial" w:hAnsi="Arial" w:eastAsia="Arial Unicode MS" w:cs="Arial"/>
              </w:rPr>
            </w:pPr>
            <w:r>
              <w:rPr>
                <w:rFonts w:cs="Arial" w:ascii="Arial" w:hAnsi="Arial"/>
              </w:rPr>
              <w:t>AA- and above</w:t>
            </w:r>
          </w:p>
        </w:tc>
        <w:tc>
          <w:tcPr>
            <w:tcW w:w="1407" w:type="dxa"/>
            <w:tcBorders/>
            <w:vAlign w:val="bottom"/>
          </w:tcPr>
          <w:p>
            <w:pPr>
              <w:pStyle w:val="Normal"/>
              <w:rPr>
                <w:rFonts w:ascii="Arial" w:hAnsi="Arial" w:eastAsia="Arial Unicode MS" w:cs="Arial"/>
              </w:rPr>
            </w:pPr>
            <w:r>
              <w:rPr>
                <w:rFonts w:cs="Arial" w:ascii="Arial" w:hAnsi="Arial"/>
              </w:rPr>
              <w:t>Aa3 and Above</w:t>
            </w:r>
          </w:p>
        </w:tc>
        <w:tc>
          <w:tcPr>
            <w:tcW w:w="2320" w:type="dxa"/>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35,000,000 </w:t>
            </w:r>
          </w:p>
        </w:tc>
        <w:tc>
          <w:tcPr>
            <w:tcW w:w="2835" w:type="dxa"/>
            <w:tcBorders>
              <w:end w:val="single" w:sz="4" w:space="0" w:color="000000"/>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35,000,000 </w:t>
            </w:r>
          </w:p>
        </w:tc>
      </w:tr>
      <w:tr>
        <w:trPr>
          <w:trHeight w:val="255" w:hRule="atLeast"/>
        </w:trPr>
        <w:tc>
          <w:tcPr>
            <w:tcW w:w="1859" w:type="dxa"/>
            <w:tcBorders>
              <w:start w:val="single" w:sz="4" w:space="0" w:color="000000"/>
            </w:tcBorders>
            <w:vAlign w:val="bottom"/>
          </w:tcPr>
          <w:p>
            <w:pPr>
              <w:pStyle w:val="Normal"/>
              <w:rPr>
                <w:rFonts w:ascii="Arial" w:hAnsi="Arial" w:eastAsia="Arial Unicode MS" w:cs="Arial"/>
              </w:rPr>
            </w:pPr>
            <w:r>
              <w:rPr>
                <w:rFonts w:cs="Arial" w:ascii="Arial" w:hAnsi="Arial"/>
              </w:rPr>
              <w:t>AA (low) and A (high)</w:t>
            </w:r>
          </w:p>
        </w:tc>
        <w:tc>
          <w:tcPr>
            <w:tcW w:w="1390" w:type="dxa"/>
            <w:tcBorders/>
            <w:vAlign w:val="bottom"/>
          </w:tcPr>
          <w:p>
            <w:pPr>
              <w:pStyle w:val="Normal"/>
              <w:rPr>
                <w:rFonts w:ascii="Arial" w:hAnsi="Arial" w:eastAsia="Arial Unicode MS" w:cs="Arial"/>
              </w:rPr>
            </w:pPr>
            <w:r>
              <w:rPr>
                <w:rFonts w:cs="Arial" w:ascii="Arial" w:hAnsi="Arial"/>
              </w:rPr>
              <w:t>A+ and A</w:t>
            </w:r>
          </w:p>
        </w:tc>
        <w:tc>
          <w:tcPr>
            <w:tcW w:w="1407" w:type="dxa"/>
            <w:tcBorders/>
            <w:vAlign w:val="bottom"/>
          </w:tcPr>
          <w:p>
            <w:pPr>
              <w:pStyle w:val="Normal"/>
              <w:rPr>
                <w:rFonts w:ascii="Arial" w:hAnsi="Arial" w:eastAsia="Arial Unicode MS" w:cs="Arial"/>
              </w:rPr>
            </w:pPr>
            <w:r>
              <w:rPr>
                <w:rFonts w:cs="Arial" w:ascii="Arial" w:hAnsi="Arial"/>
              </w:rPr>
              <w:t>A1 and A2</w:t>
            </w:r>
          </w:p>
        </w:tc>
        <w:tc>
          <w:tcPr>
            <w:tcW w:w="2320" w:type="dxa"/>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25,000,000 </w:t>
            </w:r>
          </w:p>
        </w:tc>
        <w:tc>
          <w:tcPr>
            <w:tcW w:w="2835" w:type="dxa"/>
            <w:tcBorders>
              <w:end w:val="single" w:sz="4" w:space="0" w:color="000000"/>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25,000,000 </w:t>
            </w:r>
          </w:p>
        </w:tc>
      </w:tr>
      <w:tr>
        <w:trPr>
          <w:trHeight w:val="255" w:hRule="atLeast"/>
        </w:trPr>
        <w:tc>
          <w:tcPr>
            <w:tcW w:w="1859" w:type="dxa"/>
            <w:tcBorders>
              <w:start w:val="single" w:sz="4" w:space="0" w:color="000000"/>
            </w:tcBorders>
            <w:vAlign w:val="bottom"/>
          </w:tcPr>
          <w:p>
            <w:pPr>
              <w:pStyle w:val="Normal"/>
              <w:rPr>
                <w:rFonts w:ascii="Arial" w:hAnsi="Arial" w:eastAsia="Arial Unicode MS" w:cs="Arial"/>
              </w:rPr>
            </w:pPr>
            <w:r>
              <w:rPr>
                <w:rFonts w:cs="Arial" w:ascii="Arial" w:hAnsi="Arial"/>
              </w:rPr>
              <w:t>A and A (low)</w:t>
            </w:r>
          </w:p>
        </w:tc>
        <w:tc>
          <w:tcPr>
            <w:tcW w:w="1390" w:type="dxa"/>
            <w:tcBorders/>
            <w:vAlign w:val="bottom"/>
          </w:tcPr>
          <w:p>
            <w:pPr>
              <w:pStyle w:val="Normal"/>
              <w:rPr>
                <w:rFonts w:ascii="Arial" w:hAnsi="Arial" w:eastAsia="Arial Unicode MS" w:cs="Arial"/>
              </w:rPr>
            </w:pPr>
            <w:r>
              <w:rPr>
                <w:rFonts w:cs="Arial" w:ascii="Arial" w:hAnsi="Arial"/>
              </w:rPr>
              <w:t>A- and BBB+</w:t>
            </w:r>
          </w:p>
        </w:tc>
        <w:tc>
          <w:tcPr>
            <w:tcW w:w="1407" w:type="dxa"/>
            <w:tcBorders/>
            <w:vAlign w:val="bottom"/>
          </w:tcPr>
          <w:p>
            <w:pPr>
              <w:pStyle w:val="Normal"/>
              <w:rPr>
                <w:rFonts w:ascii="Arial" w:hAnsi="Arial" w:eastAsia="Arial Unicode MS" w:cs="Arial"/>
              </w:rPr>
            </w:pPr>
            <w:r>
              <w:rPr>
                <w:rFonts w:cs="Arial" w:ascii="Arial" w:hAnsi="Arial"/>
              </w:rPr>
              <w:t>A3 and Baa1</w:t>
            </w:r>
          </w:p>
        </w:tc>
        <w:tc>
          <w:tcPr>
            <w:tcW w:w="2320" w:type="dxa"/>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15,000,000 </w:t>
            </w:r>
          </w:p>
        </w:tc>
        <w:tc>
          <w:tcPr>
            <w:tcW w:w="2835" w:type="dxa"/>
            <w:tcBorders>
              <w:end w:val="single" w:sz="4" w:space="0" w:color="000000"/>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15,000,000 </w:t>
            </w:r>
          </w:p>
        </w:tc>
      </w:tr>
      <w:tr>
        <w:trPr>
          <w:trHeight w:val="255" w:hRule="atLeast"/>
        </w:trPr>
        <w:tc>
          <w:tcPr>
            <w:tcW w:w="1859" w:type="dxa"/>
            <w:tcBorders>
              <w:start w:val="single" w:sz="4" w:space="0" w:color="000000"/>
            </w:tcBorders>
            <w:vAlign w:val="bottom"/>
          </w:tcPr>
          <w:p>
            <w:pPr>
              <w:pStyle w:val="Normal"/>
              <w:rPr>
                <w:rFonts w:ascii="Arial" w:hAnsi="Arial" w:eastAsia="Arial Unicode MS" w:cs="Arial"/>
              </w:rPr>
            </w:pPr>
            <w:r>
              <w:rPr>
                <w:rFonts w:cs="Arial" w:ascii="Arial" w:hAnsi="Arial"/>
              </w:rPr>
              <w:t>BBB (high)</w:t>
            </w:r>
          </w:p>
        </w:tc>
        <w:tc>
          <w:tcPr>
            <w:tcW w:w="1390" w:type="dxa"/>
            <w:tcBorders/>
            <w:vAlign w:val="bottom"/>
          </w:tcPr>
          <w:p>
            <w:pPr>
              <w:pStyle w:val="Normal"/>
              <w:rPr>
                <w:rFonts w:ascii="Arial" w:hAnsi="Arial" w:eastAsia="Arial Unicode MS" w:cs="Arial"/>
              </w:rPr>
            </w:pPr>
            <w:r>
              <w:rPr>
                <w:rFonts w:cs="Arial" w:ascii="Arial" w:hAnsi="Arial"/>
              </w:rPr>
              <w:t>BBB</w:t>
            </w:r>
          </w:p>
        </w:tc>
        <w:tc>
          <w:tcPr>
            <w:tcW w:w="1407" w:type="dxa"/>
            <w:tcBorders/>
            <w:vAlign w:val="bottom"/>
          </w:tcPr>
          <w:p>
            <w:pPr>
              <w:pStyle w:val="Normal"/>
              <w:rPr>
                <w:rFonts w:ascii="Arial" w:hAnsi="Arial" w:eastAsia="Arial Unicode MS" w:cs="Arial"/>
              </w:rPr>
            </w:pPr>
            <w:r>
              <w:rPr>
                <w:rFonts w:cs="Arial" w:ascii="Arial" w:hAnsi="Arial"/>
              </w:rPr>
              <w:t>Baa2</w:t>
            </w:r>
          </w:p>
        </w:tc>
        <w:tc>
          <w:tcPr>
            <w:tcW w:w="2320" w:type="dxa"/>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12,500,000 </w:t>
            </w:r>
          </w:p>
        </w:tc>
        <w:tc>
          <w:tcPr>
            <w:tcW w:w="2835" w:type="dxa"/>
            <w:tcBorders>
              <w:end w:val="single" w:sz="4" w:space="0" w:color="000000"/>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12,500,000 </w:t>
            </w:r>
          </w:p>
        </w:tc>
      </w:tr>
      <w:tr>
        <w:trPr>
          <w:trHeight w:val="255" w:hRule="atLeast"/>
        </w:trPr>
        <w:tc>
          <w:tcPr>
            <w:tcW w:w="1859" w:type="dxa"/>
            <w:tcBorders>
              <w:start w:val="single" w:sz="4" w:space="0" w:color="000000"/>
            </w:tcBorders>
            <w:vAlign w:val="bottom"/>
          </w:tcPr>
          <w:p>
            <w:pPr>
              <w:pStyle w:val="Normal"/>
              <w:rPr>
                <w:rFonts w:ascii="Arial" w:hAnsi="Arial" w:eastAsia="Arial Unicode MS" w:cs="Arial"/>
              </w:rPr>
            </w:pPr>
            <w:r>
              <w:rPr>
                <w:rFonts w:cs="Arial" w:ascii="Arial" w:hAnsi="Arial"/>
              </w:rPr>
              <w:t>BBB</w:t>
            </w:r>
          </w:p>
        </w:tc>
        <w:tc>
          <w:tcPr>
            <w:tcW w:w="1390" w:type="dxa"/>
            <w:tcBorders/>
            <w:vAlign w:val="bottom"/>
          </w:tcPr>
          <w:p>
            <w:pPr>
              <w:pStyle w:val="Normal"/>
              <w:rPr>
                <w:rFonts w:ascii="Arial" w:hAnsi="Arial" w:eastAsia="Arial Unicode MS" w:cs="Arial"/>
              </w:rPr>
            </w:pPr>
            <w:r>
              <w:rPr>
                <w:rFonts w:cs="Arial" w:ascii="Arial" w:hAnsi="Arial"/>
              </w:rPr>
              <w:t>BBB-</w:t>
            </w:r>
          </w:p>
        </w:tc>
        <w:tc>
          <w:tcPr>
            <w:tcW w:w="1407" w:type="dxa"/>
            <w:tcBorders/>
            <w:vAlign w:val="bottom"/>
          </w:tcPr>
          <w:p>
            <w:pPr>
              <w:pStyle w:val="Normal"/>
              <w:rPr>
                <w:rFonts w:ascii="Arial" w:hAnsi="Arial" w:eastAsia="Arial Unicode MS" w:cs="Arial"/>
              </w:rPr>
            </w:pPr>
            <w:r>
              <w:rPr>
                <w:rFonts w:cs="Arial" w:ascii="Arial" w:hAnsi="Arial"/>
              </w:rPr>
              <w:t>Baa3</w:t>
            </w:r>
          </w:p>
        </w:tc>
        <w:tc>
          <w:tcPr>
            <w:tcW w:w="2320" w:type="dxa"/>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10,000,000 </w:t>
            </w:r>
          </w:p>
        </w:tc>
        <w:tc>
          <w:tcPr>
            <w:tcW w:w="2835" w:type="dxa"/>
            <w:tcBorders>
              <w:end w:val="single" w:sz="4" w:space="0" w:color="000000"/>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10,000,000 </w:t>
            </w:r>
          </w:p>
        </w:tc>
      </w:tr>
      <w:tr>
        <w:trPr>
          <w:trHeight w:val="255" w:hRule="atLeast"/>
        </w:trPr>
        <w:tc>
          <w:tcPr>
            <w:tcW w:w="1859" w:type="dxa"/>
            <w:tcBorders>
              <w:start w:val="single" w:sz="4" w:space="0" w:color="000000"/>
              <w:bottom w:val="single" w:sz="4" w:space="0" w:color="000000"/>
            </w:tcBorders>
            <w:vAlign w:val="bottom"/>
          </w:tcPr>
          <w:p>
            <w:pPr>
              <w:pStyle w:val="Normal"/>
              <w:rPr>
                <w:rFonts w:ascii="Arial" w:hAnsi="Arial" w:eastAsia="Arial Unicode MS" w:cs="Arial"/>
              </w:rPr>
            </w:pPr>
            <w:r>
              <w:rPr>
                <w:rFonts w:cs="Arial" w:ascii="Arial" w:hAnsi="Arial"/>
              </w:rPr>
              <w:t>BBB (low) or below</w:t>
            </w:r>
          </w:p>
        </w:tc>
        <w:tc>
          <w:tcPr>
            <w:tcW w:w="1390" w:type="dxa"/>
            <w:tcBorders>
              <w:bottom w:val="single" w:sz="4" w:space="0" w:color="000000"/>
            </w:tcBorders>
            <w:vAlign w:val="bottom"/>
          </w:tcPr>
          <w:p>
            <w:pPr>
              <w:pStyle w:val="Normal"/>
              <w:rPr>
                <w:rFonts w:ascii="Arial" w:hAnsi="Arial" w:eastAsia="Arial Unicode MS" w:cs="Arial"/>
              </w:rPr>
            </w:pPr>
            <w:r>
              <w:rPr>
                <w:rFonts w:cs="Arial" w:ascii="Arial" w:hAnsi="Arial"/>
              </w:rPr>
              <w:t>BB+ and below</w:t>
            </w:r>
          </w:p>
        </w:tc>
        <w:tc>
          <w:tcPr>
            <w:tcW w:w="1407" w:type="dxa"/>
            <w:tcBorders>
              <w:bottom w:val="single" w:sz="4" w:space="0" w:color="000000"/>
            </w:tcBorders>
            <w:vAlign w:val="bottom"/>
          </w:tcPr>
          <w:p>
            <w:pPr>
              <w:pStyle w:val="Normal"/>
              <w:rPr>
                <w:rFonts w:ascii="Arial" w:hAnsi="Arial" w:eastAsia="Arial Unicode MS" w:cs="Arial"/>
              </w:rPr>
            </w:pPr>
            <w:r>
              <w:rPr>
                <w:rFonts w:cs="Arial" w:ascii="Arial" w:hAnsi="Arial"/>
              </w:rPr>
              <w:t>Ba1 and below</w:t>
            </w:r>
          </w:p>
        </w:tc>
        <w:tc>
          <w:tcPr>
            <w:tcW w:w="2320" w:type="dxa"/>
            <w:tcBorders>
              <w:bottom w:val="single" w:sz="4" w:space="0" w:color="000000"/>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0</w:t>
            </w:r>
          </w:p>
        </w:tc>
        <w:tc>
          <w:tcPr>
            <w:tcW w:w="2835" w:type="dxa"/>
            <w:tcBorders>
              <w:bottom w:val="single" w:sz="4" w:space="0" w:color="000000"/>
              <w:end w:val="single" w:sz="4" w:space="0" w:color="000000"/>
            </w:tcBorders>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0</w:t>
            </w:r>
          </w:p>
        </w:tc>
      </w:tr>
    </w:tbl>
    <w:p>
      <w:pPr>
        <w:pStyle w:val="Normal"/>
        <w:ind w:hanging="630" w:start="2160" w:end="0"/>
        <w:rPr>
          <w:color w:val="000000"/>
          <w:sz w:val="22"/>
          <w:szCs w:val="22"/>
        </w:rPr>
      </w:pPr>
      <w:r>
        <w:rPr>
          <w:color w:val="000000"/>
          <w:sz w:val="22"/>
          <w:szCs w:val="22"/>
        </w:rPr>
      </w:r>
    </w:p>
    <w:p>
      <w:pPr>
        <w:pStyle w:val="Normal"/>
        <w:ind w:hanging="630" w:start="2160" w:end="0"/>
        <w:rPr>
          <w:color w:val="000000"/>
          <w:sz w:val="22"/>
          <w:szCs w:val="22"/>
        </w:rPr>
      </w:pPr>
      <w:r>
        <w:rPr>
          <w:color w:val="000000"/>
          <w:sz w:val="22"/>
          <w:szCs w:val="22"/>
        </w:rPr>
      </w:r>
    </w:p>
    <w:p>
      <w:pPr>
        <w:pStyle w:val="Normal"/>
        <w:ind w:start="720" w:end="0"/>
        <w:jc w:val="both"/>
        <w:rPr/>
      </w:pPr>
      <w:r>
        <w:rPr>
          <w:color w:val="000000"/>
          <w:sz w:val="22"/>
          <w:szCs w:val="22"/>
        </w:rPr>
        <w:t xml:space="preserve">(C)  </w:t>
      </w:r>
      <w:r>
        <w:rPr>
          <w:b/>
          <w:bCs/>
          <w:color w:val="000000"/>
          <w:sz w:val="22"/>
          <w:szCs w:val="22"/>
        </w:rPr>
        <w:t>“Minimum Transfer Amount”</w:t>
      </w:r>
      <w:r>
        <w:rPr>
          <w:color w:val="000000"/>
          <w:sz w:val="22"/>
          <w:szCs w:val="22"/>
        </w:rPr>
        <w:t xml:space="preserve"> means with respect to Party A:  U.S. $0.</w:t>
      </w:r>
    </w:p>
    <w:p>
      <w:pPr>
        <w:pStyle w:val="Normal"/>
        <w:ind w:start="720" w:end="0"/>
        <w:jc w:val="both"/>
        <w:rPr>
          <w:color w:val="000000"/>
          <w:sz w:val="22"/>
          <w:szCs w:val="22"/>
        </w:rPr>
      </w:pPr>
      <w:r>
        <w:rPr>
          <w:color w:val="000000"/>
          <w:sz w:val="22"/>
          <w:szCs w:val="22"/>
        </w:rPr>
      </w:r>
    </w:p>
    <w:p>
      <w:pPr>
        <w:pStyle w:val="Normal"/>
        <w:ind w:firstLine="360" w:start="720" w:end="0"/>
        <w:jc w:val="both"/>
        <w:rPr/>
      </w:pPr>
      <w:r>
        <w:rPr>
          <w:b/>
          <w:bCs/>
          <w:color w:val="000000"/>
          <w:sz w:val="22"/>
          <w:szCs w:val="22"/>
        </w:rPr>
        <w:t>“</w:t>
      </w:r>
      <w:r>
        <w:rPr>
          <w:b/>
          <w:bCs/>
          <w:color w:val="000000"/>
          <w:sz w:val="22"/>
          <w:szCs w:val="22"/>
        </w:rPr>
        <w:t>Minimum Transfer Amount”</w:t>
      </w:r>
      <w:r>
        <w:rPr>
          <w:color w:val="000000"/>
          <w:sz w:val="22"/>
          <w:szCs w:val="22"/>
        </w:rPr>
        <w:t xml:space="preserve"> means with respect to Party B:  U.S. $0.</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(D)  </w:t>
      </w:r>
      <w:r>
        <w:rPr>
          <w:b/>
          <w:bCs/>
          <w:color w:val="000000"/>
          <w:sz w:val="22"/>
          <w:szCs w:val="22"/>
        </w:rPr>
        <w:t>Rounding.</w:t>
      </w:r>
      <w:r>
        <w:rPr>
          <w:color w:val="000000"/>
          <w:sz w:val="22"/>
          <w:szCs w:val="22"/>
        </w:rPr>
        <w:t xml:space="preserve">  The Delivery Amount will be rounded up to the nearest integral multiple of U.S. $250,000 and the Return Amount will be rounded down to the nearest integral multiple of U.S. $250,000.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(c)  </w:t>
      </w:r>
      <w:r>
        <w:rPr>
          <w:b/>
          <w:bCs/>
          <w:color w:val="000000"/>
          <w:sz w:val="22"/>
          <w:szCs w:val="22"/>
        </w:rPr>
        <w:t>Valuation and Timing.</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“Valuation Agent”</w:t>
      </w:r>
      <w:r>
        <w:rPr>
          <w:color w:val="000000"/>
          <w:sz w:val="22"/>
          <w:szCs w:val="22"/>
        </w:rPr>
        <w:t xml:space="preserve"> </w:t>
      </w:r>
      <w:r>
        <w:rPr>
          <w:color w:val="000000"/>
          <w:sz w:val="22"/>
        </w:rPr>
        <w:t xml:space="preserve">means, for purposes of Paragraph 3 and 5, the party making the demand under Paragraph 3 and, for purposes of Paragraph 6(d), the Secured Party receiving or deemed to receive the Distributions or the Interest Amount, as applicable, unless such party fails to perform its obligations as Valuation Agent under Paragraph 4(c) or Paragraph 6(d) in a timely manner, or an Event of Default or Potential Event of Default has occurred and is continuing with respect to such party acting as Valuation Agent, in which event the other party shall be the Valuation Agent. In the event that an Event of Default or Potential Event of Default has occurred and is continuing with respect to both parties, then the party making the demand under Paragraph 3, and, for purpose of Paragraph 6(d), the Secured Party receiving or deemed to receive the Distributions or the Interest Amount, as applicable, shall be the Valuation Agent. </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“Valuation Date”</w:t>
      </w:r>
      <w:r>
        <w:rPr>
          <w:color w:val="000000"/>
          <w:sz w:val="22"/>
          <w:szCs w:val="22"/>
        </w:rPr>
        <w:t xml:space="preserve"> means any Local Business Day.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“Valuation Time”</w:t>
      </w:r>
      <w:r>
        <w:rPr>
          <w:color w:val="000000"/>
          <w:sz w:val="22"/>
          <w:szCs w:val="22"/>
        </w:rPr>
        <w:t xml:space="preserve"> means:</w:t>
      </w:r>
    </w:p>
    <w:p>
      <w:pPr>
        <w:pStyle w:val="Normal"/>
        <w:ind w:hanging="72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  ]  the close of business in the city of the Valuation Agent on the Valuation Date or date of calculation, as applicable;</w:t>
      </w:r>
    </w:p>
    <w:p>
      <w:pPr>
        <w:pStyle w:val="Normal"/>
        <w:ind w:hanging="36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[X]  the close of business in the city of the Valuation Agent on the Local Business Day before the Valuation Date or date of calculation, as applicable;</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provided that the calculations of Value and Exposure will be made as of approximately the same time on the same date.</w:t>
      </w:r>
    </w:p>
    <w:p>
      <w:pPr>
        <w:pStyle w:val="Normal"/>
        <w:ind w:start="360" w:end="0"/>
        <w:jc w:val="both"/>
        <w:rPr>
          <w:color w:val="000000"/>
          <w:sz w:val="22"/>
          <w:szCs w:val="22"/>
        </w:rPr>
      </w:pPr>
      <w:r>
        <w:rPr>
          <w:color w:val="000000"/>
          <w:sz w:val="22"/>
          <w:szCs w:val="22"/>
        </w:rPr>
      </w:r>
    </w:p>
    <w:p>
      <w:pPr>
        <w:pStyle w:val="Normal"/>
        <w:ind w:start="720" w:end="0"/>
        <w:jc w:val="both"/>
        <w:rPr/>
      </w:pPr>
      <w:r>
        <w:rPr>
          <w:color w:val="000000"/>
          <w:sz w:val="22"/>
          <w:szCs w:val="22"/>
        </w:rPr>
        <w:t>(iv)  “</w:t>
      </w:r>
      <w:r>
        <w:rPr>
          <w:b/>
          <w:bCs/>
          <w:color w:val="000000"/>
          <w:sz w:val="22"/>
          <w:szCs w:val="22"/>
        </w:rPr>
        <w:t>Notification Time”</w:t>
      </w:r>
      <w:r>
        <w:rPr>
          <w:color w:val="000000"/>
          <w:sz w:val="22"/>
          <w:szCs w:val="22"/>
        </w:rPr>
        <w:t xml:space="preserve"> means 1:00 p.m., New York time, on a Local Business Day:</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(v)   Paragraph 4(b) shall be amended to delete the words “next Local Business Day” in the third line thereof and substitute therefor the words “second Local Business Day thereafter” and delete the word “second” on the last line thereof and replace it with the word “third.”</w:t>
        <w:tab/>
      </w:r>
    </w:p>
    <w:p>
      <w:pPr>
        <w:pStyle w:val="Normal"/>
        <w:ind w:hanging="720" w:start="720" w:end="0"/>
        <w:jc w:val="both"/>
        <w:rPr>
          <w:color w:val="000000"/>
          <w:sz w:val="22"/>
          <w:szCs w:val="22"/>
        </w:rPr>
      </w:pPr>
      <w:r>
        <w:rPr>
          <w:color w:val="000000"/>
          <w:sz w:val="22"/>
          <w:szCs w:val="22"/>
        </w:rPr>
      </w:r>
    </w:p>
    <w:p>
      <w:pPr>
        <w:pStyle w:val="Normal"/>
        <w:ind w:hanging="720" w:start="720" w:end="0"/>
        <w:jc w:val="both"/>
        <w:rPr/>
      </w:pPr>
      <w:r>
        <w:rPr>
          <w:color w:val="000000"/>
          <w:sz w:val="22"/>
          <w:szCs w:val="22"/>
        </w:rPr>
        <w:t>(d)</w:t>
        <w:tab/>
      </w:r>
      <w:r>
        <w:rPr>
          <w:b/>
          <w:bCs/>
          <w:color w:val="000000"/>
          <w:sz w:val="22"/>
          <w:szCs w:val="22"/>
        </w:rPr>
        <w:t>Conditions Precedent and Secured Party’s Rights and Remedies.</w:t>
      </w:r>
      <w:r>
        <w:rPr>
          <w:color w:val="000000"/>
          <w:sz w:val="22"/>
          <w:szCs w:val="22"/>
        </w:rPr>
        <w:t xml:space="preserve">  The following Termination Event(s) will be a </w:t>
      </w:r>
      <w:r>
        <w:rPr>
          <w:b/>
          <w:bCs/>
          <w:color w:val="000000"/>
          <w:sz w:val="22"/>
          <w:szCs w:val="22"/>
        </w:rPr>
        <w:t>“Specified Condition”</w:t>
      </w:r>
      <w:r>
        <w:rPr>
          <w:color w:val="000000"/>
          <w:sz w:val="22"/>
          <w:szCs w:val="22"/>
        </w:rPr>
        <w:t xml:space="preserve"> for the party specified (that party being the Affected Party if the Termination Event occurs with respect to that party):</w:t>
      </w:r>
    </w:p>
    <w:p>
      <w:pPr>
        <w:pStyle w:val="Normal"/>
        <w:ind w:start="2160" w:end="0"/>
        <w:jc w:val="both"/>
        <w:rPr>
          <w:color w:val="000000"/>
          <w:sz w:val="22"/>
          <w:szCs w:val="22"/>
        </w:rPr>
      </w:pPr>
      <w:r>
        <w:rPr>
          <w:color w:val="000000"/>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color w:val="000000"/>
                <w:sz w:val="22"/>
                <w:szCs w:val="22"/>
              </w:rPr>
            </w:pPr>
            <w:r>
              <w:rPr>
                <w:b/>
                <w:bCs/>
                <w:color w:val="000000"/>
                <w:sz w:val="22"/>
                <w:szCs w:val="22"/>
              </w:rPr>
              <w:t>Specified Condition</w:t>
            </w:r>
          </w:p>
        </w:tc>
        <w:tc>
          <w:tcPr>
            <w:tcW w:w="1280" w:type="dxa"/>
            <w:tcBorders/>
          </w:tcPr>
          <w:p>
            <w:pPr>
              <w:pStyle w:val="Normal"/>
              <w:jc w:val="center"/>
              <w:rPr>
                <w:b/>
                <w:bCs/>
                <w:color w:val="000000"/>
                <w:sz w:val="22"/>
                <w:szCs w:val="22"/>
              </w:rPr>
            </w:pPr>
            <w:r>
              <w:rPr>
                <w:b/>
                <w:bCs/>
                <w:color w:val="000000"/>
                <w:sz w:val="22"/>
                <w:szCs w:val="22"/>
              </w:rPr>
              <w:t>Party A</w:t>
            </w:r>
          </w:p>
        </w:tc>
        <w:tc>
          <w:tcPr>
            <w:tcW w:w="1280" w:type="dxa"/>
            <w:tcBorders/>
          </w:tcPr>
          <w:p>
            <w:pPr>
              <w:pStyle w:val="Normal"/>
              <w:jc w:val="center"/>
              <w:rPr>
                <w:b/>
                <w:bCs/>
                <w:color w:val="000000"/>
                <w:sz w:val="22"/>
                <w:szCs w:val="22"/>
              </w:rPr>
            </w:pPr>
            <w:r>
              <w:rPr>
                <w:b/>
                <w:bCs/>
                <w:color w:val="000000"/>
                <w:sz w:val="22"/>
                <w:szCs w:val="22"/>
              </w:rPr>
              <w:t>Party B</w:t>
            </w:r>
          </w:p>
          <w:p>
            <w:pPr>
              <w:pStyle w:val="Normal"/>
              <w:jc w:val="center"/>
              <w:rPr>
                <w:b/>
                <w:bCs/>
                <w:color w:val="000000"/>
                <w:sz w:val="22"/>
                <w:szCs w:val="22"/>
              </w:rPr>
            </w:pPr>
            <w:r>
              <w:rPr>
                <w:b/>
                <w:bCs/>
                <w:color w:val="000000"/>
                <w:sz w:val="22"/>
                <w:szCs w:val="22"/>
              </w:rPr>
            </w:r>
          </w:p>
        </w:tc>
      </w:tr>
      <w:tr>
        <w:trPr/>
        <w:tc>
          <w:tcPr>
            <w:tcW w:w="3600" w:type="dxa"/>
            <w:tcBorders/>
          </w:tcPr>
          <w:p>
            <w:pPr>
              <w:pStyle w:val="Normal"/>
              <w:ind w:start="-18" w:end="0"/>
              <w:rPr>
                <w:color w:val="000000"/>
                <w:sz w:val="22"/>
                <w:szCs w:val="22"/>
              </w:rPr>
            </w:pPr>
            <w:r>
              <w:rPr>
                <w:color w:val="000000"/>
                <w:sz w:val="22"/>
                <w:szCs w:val="22"/>
              </w:rPr>
              <w:t>Illegality</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Credit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Additional Termination Event(s):</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None</w:t>
            </w:r>
          </w:p>
        </w:tc>
        <w:tc>
          <w:tcPr>
            <w:tcW w:w="1280" w:type="dxa"/>
            <w:tcBorders/>
          </w:tcPr>
          <w:p>
            <w:pPr>
              <w:pStyle w:val="Normal"/>
              <w:jc w:val="center"/>
              <w:rPr>
                <w:color w:val="000000"/>
                <w:sz w:val="22"/>
                <w:szCs w:val="22"/>
                <w:vertAlign w:val="superscript"/>
              </w:rPr>
            </w:pPr>
            <w:r>
              <w:rPr>
                <w:color w:val="000000"/>
                <w:sz w:val="22"/>
                <w:szCs w:val="22"/>
              </w:rPr>
              <w:t>None</w:t>
            </w:r>
          </w:p>
        </w:tc>
      </w:tr>
    </w:tbl>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(e)  </w:t>
      </w:r>
      <w:r>
        <w:rPr>
          <w:b/>
          <w:bCs/>
          <w:color w:val="000000"/>
          <w:sz w:val="22"/>
          <w:szCs w:val="22"/>
        </w:rPr>
        <w:t>Substitution.</w:t>
      </w:r>
    </w:p>
    <w:p>
      <w:pPr>
        <w:pStyle w:val="Normal"/>
        <w:ind w:hanging="720" w:start="720" w:end="0"/>
        <w:jc w:val="both"/>
        <w:rPr>
          <w:color w:val="000000"/>
          <w:sz w:val="22"/>
          <w:szCs w:val="22"/>
        </w:rPr>
      </w:pPr>
      <w:r>
        <w:rPr>
          <w:color w:val="000000"/>
          <w:sz w:val="22"/>
          <w:szCs w:val="22"/>
        </w:rPr>
      </w:r>
    </w:p>
    <w:p>
      <w:pPr>
        <w:pStyle w:val="Normal"/>
        <w:ind w:hanging="720" w:start="1440" w:end="0"/>
        <w:jc w:val="both"/>
        <w:rPr/>
      </w:pPr>
      <w:r>
        <w:rPr>
          <w:color w:val="000000"/>
          <w:sz w:val="22"/>
          <w:szCs w:val="22"/>
        </w:rPr>
        <w:t xml:space="preserve">(i)  </w:t>
      </w:r>
      <w:r>
        <w:rPr>
          <w:b/>
          <w:bCs/>
          <w:color w:val="000000"/>
          <w:sz w:val="22"/>
          <w:szCs w:val="22"/>
        </w:rPr>
        <w:t>“Substitution Date”</w:t>
      </w:r>
      <w:r>
        <w:rPr>
          <w:color w:val="000000"/>
          <w:sz w:val="22"/>
          <w:szCs w:val="22"/>
        </w:rPr>
        <w:t xml:space="preserve"> has the meaning specified in Paragraph 4(d)(ii).</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Consent.</w:t>
      </w:r>
      <w:r>
        <w:rPr>
          <w:color w:val="000000"/>
          <w:sz w:val="22"/>
          <w:szCs w:val="22"/>
        </w:rPr>
        <w:t xml:space="preserve">  If specified here as applicable, then the Pledgor must obtain the Secured Party’s consent for any substitution pursuant to Paragraph 4(d):  Applicable.</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(f)  </w:t>
      </w:r>
      <w:r>
        <w:rPr>
          <w:b/>
          <w:bCs/>
          <w:color w:val="000000"/>
          <w:sz w:val="22"/>
          <w:szCs w:val="22"/>
        </w:rPr>
        <w:t>Dispute Resolution.</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“Resolution Time”</w:t>
      </w:r>
      <w:r>
        <w:rPr>
          <w:color w:val="000000"/>
          <w:sz w:val="22"/>
          <w:szCs w:val="22"/>
        </w:rPr>
        <w:t xml:space="preserve"> means 1:00 p.m., New York time, on the second Local Business Day following the date on which notice of the dispute is given under Paragraph 5.</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Value.</w:t>
      </w:r>
      <w:r>
        <w:rPr>
          <w:color w:val="000000"/>
          <w:sz w:val="22"/>
          <w:szCs w:val="22"/>
        </w:rPr>
        <w:t xml:space="preserve">  For the purpose of Paragraphs 5(i)(C) and 5(ii), the Value of Posted Credit Support as of the relevant calculation date will be calculated as follows:</w:t>
      </w:r>
    </w:p>
    <w:p>
      <w:pPr>
        <w:pStyle w:val="Normal"/>
        <w:ind w:start="72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With respect to Cash, the face amount thereof; and</w:t>
      </w:r>
    </w:p>
    <w:p>
      <w:pPr>
        <w:pStyle w:val="Normal"/>
        <w:ind w:start="1080" w:end="0"/>
        <w:jc w:val="both"/>
        <w:rPr>
          <w:color w:val="000000"/>
          <w:sz w:val="22"/>
          <w:szCs w:val="22"/>
        </w:rPr>
      </w:pPr>
      <w:r>
        <w:rPr>
          <w:color w:val="000000"/>
          <w:sz w:val="22"/>
          <w:szCs w:val="22"/>
        </w:rPr>
      </w:r>
    </w:p>
    <w:p>
      <w:pPr>
        <w:pStyle w:val="Normal"/>
        <w:numPr>
          <w:ilvl w:val="0"/>
          <w:numId w:val="6"/>
        </w:numPr>
        <w:jc w:val="both"/>
        <w:rPr>
          <w:color w:val="000000"/>
          <w:sz w:val="22"/>
          <w:szCs w:val="22"/>
        </w:rPr>
      </w:pPr>
      <w:r>
        <w:rPr>
          <w:color w:val="000000"/>
          <w:sz w:val="22"/>
          <w:szCs w:val="22"/>
        </w:rPr>
        <w:t xml:space="preserve">With respect to any Government Obligations, the sum of (A)(x) the mean of the high bid and low asked prices quoted on such date by two principal market makers of recognized national standing (each a </w:t>
      </w:r>
      <w:r>
        <w:rPr>
          <w:b/>
          <w:bCs/>
          <w:color w:val="000000"/>
          <w:sz w:val="22"/>
          <w:szCs w:val="22"/>
        </w:rPr>
        <w:t>“Principal Market Maker”</w:t>
      </w:r>
      <w:r>
        <w:rPr>
          <w:color w:val="000000"/>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(3)  With respect to Letters of Credit, an amount equal to the value as calculated in Paragraph 13(j)(i).</w:t>
      </w:r>
    </w:p>
    <w:p>
      <w:pPr>
        <w:pStyle w:val="Normal"/>
        <w:ind w:start="108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Alternative:</w:t>
      </w:r>
      <w:r>
        <w:rPr>
          <w:color w:val="000000"/>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tabs>
          <w:tab w:val="clear" w:pos="720"/>
          <w:tab w:val="left" w:pos="1440" w:leader="none"/>
        </w:tabs>
        <w:spacing w:before="240" w:after="0"/>
        <w:ind w:start="720" w:end="0"/>
        <w:jc w:val="both"/>
        <w:rPr>
          <w:color w:val="000000"/>
          <w:sz w:val="22"/>
          <w:szCs w:val="22"/>
        </w:rPr>
      </w:pPr>
      <w:r>
        <w:rPr>
          <w:color w:val="000000"/>
          <w:sz w:val="22"/>
          <w:szCs w:val="22"/>
        </w:rPr>
        <w:t>(iv)  The provisions of Paragraph 5(i)(B) are hereby amended by inserting the following immediately before the word “and” in line 5 thereof:</w:t>
      </w:r>
    </w:p>
    <w:p>
      <w:pPr>
        <w:pStyle w:val="Normal"/>
        <w:spacing w:before="240" w:after="0"/>
        <w:ind w:start="720" w:end="0"/>
        <w:jc w:val="both"/>
        <w:rPr>
          <w:color w:val="000000"/>
          <w:sz w:val="22"/>
          <w:szCs w:val="22"/>
        </w:rPr>
      </w:pPr>
      <w:r>
        <w:rPr>
          <w:color w:val="000000"/>
          <w:sz w:val="22"/>
          <w:szCs w:val="22"/>
        </w:rPr>
        <w:t>provided that if no quotation from a Reference Market-maker is available for such Transaction (or Swap Transaction), then quotations of rates or prices from one or more leading participants in the relevant market (selected in good faith) may be used for such Transaction (or Swap Transaction);</w:t>
      </w:r>
    </w:p>
    <w:p>
      <w:pPr>
        <w:pStyle w:val="Normal"/>
        <w:ind w:start="5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(g)</w:t>
        <w:tab/>
      </w:r>
      <w:r>
        <w:rPr>
          <w:b/>
          <w:bCs/>
          <w:color w:val="000000"/>
          <w:sz w:val="22"/>
          <w:szCs w:val="22"/>
        </w:rPr>
        <w:t>Holding and Using Posted Collateral.</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Eligibility to Hold Posted Collateral; Custodians.</w:t>
      </w:r>
      <w:r>
        <w:rPr>
          <w:color w:val="000000"/>
          <w:sz w:val="22"/>
          <w:szCs w:val="22"/>
        </w:rPr>
        <w:t xml:space="preserve">  </w:t>
      </w:r>
      <w:r>
        <w:rPr>
          <w:color w:val="000000"/>
          <w:sz w:val="22"/>
        </w:rPr>
        <w:t>Party A and its Custodian will be entitled to hold Posted Collateral pursuant to Paragraph 6(b); provided that the following conditions applicable to it are satisfied:</w:t>
      </w:r>
    </w:p>
    <w:p>
      <w:pPr>
        <w:pStyle w:val="Normal"/>
        <w:rPr>
          <w:color w:val="000000"/>
          <w:sz w:val="22"/>
        </w:rPr>
      </w:pPr>
      <w:r>
        <w:rPr>
          <w:color w:val="000000"/>
          <w:sz w:val="22"/>
        </w:rPr>
      </w:r>
    </w:p>
    <w:p>
      <w:pPr>
        <w:pStyle w:val="Normal"/>
        <w:numPr>
          <w:ilvl w:val="0"/>
          <w:numId w:val="3"/>
        </w:numPr>
        <w:jc w:val="both"/>
        <w:rPr>
          <w:color w:val="000000"/>
          <w:sz w:val="22"/>
        </w:rPr>
      </w:pPr>
      <w:r>
        <w:rPr>
          <w:color w:val="000000"/>
          <w:sz w:val="22"/>
        </w:rPr>
        <w:t>Party A is not a Defaulting Party.</w:t>
      </w:r>
    </w:p>
    <w:p>
      <w:pPr>
        <w:pStyle w:val="Normal"/>
        <w:ind w:start="1440" w:end="0"/>
        <w:jc w:val="both"/>
        <w:rPr>
          <w:color w:val="000000"/>
          <w:sz w:val="22"/>
        </w:rPr>
      </w:pPr>
      <w:r>
        <w:rPr>
          <w:color w:val="000000"/>
          <w:sz w:val="22"/>
        </w:rPr>
      </w:r>
    </w:p>
    <w:p>
      <w:pPr>
        <w:pStyle w:val="Normal"/>
        <w:numPr>
          <w:ilvl w:val="0"/>
          <w:numId w:val="3"/>
        </w:numPr>
        <w:jc w:val="both"/>
        <w:rPr>
          <w:color w:val="000000"/>
          <w:sz w:val="22"/>
        </w:rPr>
      </w:pPr>
      <w:r>
        <w:rPr>
          <w:color w:val="000000"/>
          <w:sz w:val="22"/>
        </w:rPr>
        <w:t>Party A shall hold Posted Collateral only through a Custodian at any time that Party A’s Credit Support Provider, if rated, shall fail to maintain a Credit Rating of at least Baa3 from Moody’s or BBB- from S&amp;P.  If Party A’s Credit Support Provider is not rated by Moody’s or S&amp;P, it shall hold Posted Collateral only through a Custodian.</w:t>
      </w:r>
    </w:p>
    <w:p>
      <w:pPr>
        <w:pStyle w:val="Normal"/>
        <w:ind w:start="1440" w:end="0"/>
        <w:rPr>
          <w:color w:val="000000"/>
          <w:sz w:val="22"/>
        </w:rPr>
      </w:pPr>
      <w:r>
        <w:rPr>
          <w:color w:val="000000"/>
          <w:sz w:val="22"/>
        </w:rPr>
      </w:r>
    </w:p>
    <w:p>
      <w:pPr>
        <w:pStyle w:val="Normal"/>
        <w:numPr>
          <w:ilvl w:val="0"/>
          <w:numId w:val="3"/>
        </w:numPr>
        <w:jc w:val="both"/>
        <w:rPr>
          <w:color w:val="000000"/>
          <w:sz w:val="22"/>
        </w:rPr>
      </w:pPr>
      <w:r>
        <w:rPr>
          <w:color w:val="000000"/>
          <w:sz w:val="22"/>
        </w:rPr>
        <w:t>The Custodian shall be a commercial bank or trust company organized under the laws of the United States or a political subdivision thereof or a Schedule I bank organized under the laws of Canada.  Such bank or trust company shall at all relevant times have assets of at least $10 billion or a Credit Rating of at least A3 from Moody’s, A- from S&amp;P or A- from DBRS.  Such bank shall acknowledge in writing that it is holding property of the Pledgor subject to the pledge in favor of the Secured Party (a “Qualified Institution”).</w:t>
      </w:r>
    </w:p>
    <w:p>
      <w:pPr>
        <w:pStyle w:val="Normal"/>
        <w:rPr>
          <w:color w:val="000000"/>
          <w:sz w:val="22"/>
        </w:rPr>
      </w:pPr>
      <w:r>
        <w:rPr>
          <w:color w:val="000000"/>
          <w:sz w:val="22"/>
        </w:rPr>
      </w:r>
    </w:p>
    <w:p>
      <w:pPr>
        <w:pStyle w:val="Normal"/>
        <w:numPr>
          <w:ilvl w:val="0"/>
          <w:numId w:val="5"/>
        </w:numPr>
        <w:jc w:val="both"/>
        <w:rPr>
          <w:color w:val="000000"/>
          <w:sz w:val="22"/>
        </w:rPr>
      </w:pPr>
      <w:r>
        <w:rPr>
          <w:color w:val="000000"/>
          <w:sz w:val="22"/>
        </w:rPr>
        <w:t>Posted Collateral may be moved from one Custodian to another Custodian, subject to the condition precedents that the new Custodian shall be a Qualified Institution and reasonable advance notice shall be given in writing to Party B.  Party A shall cause statements concerning the Posted Collateral held by any Custodian to be delivered to Party B on request, which may be made not more frequently than once in each calendar month.  In the event that a Custodian ceases to be a Qualified Institution, Party B may request in writing that Party A cause the Posted Collateral to be moved to a new Custodian that is a Qualified Institution.  Party A shall cause the Posted Collateral to be moved to a new Custodian that is a Qualified Institution, as soon as reasonably possible, and in any event no later that 30 days after receipt of such written request from Party B.</w:t>
      </w:r>
    </w:p>
    <w:p>
      <w:pPr>
        <w:pStyle w:val="Normal"/>
        <w:ind w:start="1440" w:end="0"/>
        <w:rPr>
          <w:color w:val="000000"/>
          <w:sz w:val="22"/>
        </w:rPr>
      </w:pPr>
      <w:r>
        <w:rPr>
          <w:color w:val="000000"/>
          <w:sz w:val="22"/>
        </w:rPr>
      </w:r>
    </w:p>
    <w:p>
      <w:pPr>
        <w:pStyle w:val="Normal"/>
        <w:numPr>
          <w:ilvl w:val="0"/>
          <w:numId w:val="5"/>
        </w:numPr>
        <w:tabs>
          <w:tab w:val="clear" w:pos="720"/>
          <w:tab w:val="left" w:pos="1890" w:leader="none"/>
        </w:tabs>
        <w:rPr>
          <w:color w:val="000000"/>
          <w:sz w:val="22"/>
        </w:rPr>
      </w:pPr>
      <w:r>
        <w:rPr>
          <w:color w:val="000000"/>
          <w:sz w:val="22"/>
        </w:rPr>
        <w:t>Posted Collateral may be held only in the Provinces of Ontario and Alberta and the lower 48 of the United States.</w:t>
      </w:r>
    </w:p>
    <w:p>
      <w:pPr>
        <w:pStyle w:val="Normal"/>
        <w:rPr>
          <w:color w:val="000000"/>
          <w:sz w:val="22"/>
        </w:rPr>
      </w:pPr>
      <w:r>
        <w:rPr>
          <w:color w:val="000000"/>
          <w:sz w:val="22"/>
        </w:rPr>
      </w:r>
    </w:p>
    <w:p>
      <w:pPr>
        <w:pStyle w:val="Normal"/>
        <w:ind w:start="720" w:end="0"/>
        <w:jc w:val="both"/>
        <w:rPr>
          <w:color w:val="000000"/>
          <w:sz w:val="22"/>
        </w:rPr>
      </w:pPr>
      <w:r>
        <w:rPr>
          <w:color w:val="000000"/>
          <w:sz w:val="22"/>
        </w:rPr>
        <w:t>Party B and its Custodian will be entitled to hold Posted Collateral pursuant to Paragraph 6(b); provided that the following conditions applicable to it are satisfied:</w:t>
      </w:r>
    </w:p>
    <w:p>
      <w:pPr>
        <w:pStyle w:val="Normal"/>
        <w:jc w:val="both"/>
        <w:rPr>
          <w:color w:val="000000"/>
          <w:sz w:val="22"/>
        </w:rPr>
      </w:pPr>
      <w:r>
        <w:rPr>
          <w:color w:val="000000"/>
          <w:sz w:val="22"/>
        </w:rPr>
      </w:r>
    </w:p>
    <w:p>
      <w:pPr>
        <w:pStyle w:val="Normal"/>
        <w:numPr>
          <w:ilvl w:val="0"/>
          <w:numId w:val="2"/>
        </w:numPr>
        <w:tabs>
          <w:tab w:val="clear" w:pos="720"/>
          <w:tab w:val="left" w:pos="1890" w:leader="none"/>
        </w:tabs>
        <w:jc w:val="both"/>
        <w:rPr>
          <w:color w:val="000000"/>
          <w:sz w:val="22"/>
        </w:rPr>
      </w:pPr>
      <w:r>
        <w:rPr>
          <w:color w:val="000000"/>
          <w:sz w:val="22"/>
        </w:rPr>
        <w:t>Party B is not a Defaulting Party.</w:t>
      </w:r>
    </w:p>
    <w:p>
      <w:pPr>
        <w:pStyle w:val="EndnoteText"/>
        <w:widowControl/>
        <w:jc w:val="both"/>
        <w:rPr>
          <w:rFonts w:ascii="Times New Roman" w:hAnsi="Times New Roman" w:cs="Times New Roman"/>
          <w:color w:val="000000"/>
          <w:sz w:val="22"/>
        </w:rPr>
      </w:pPr>
      <w:r>
        <w:rPr>
          <w:rFonts w:cs="Times New Roman" w:ascii="Times New Roman" w:hAnsi="Times New Roman"/>
          <w:color w:val="000000"/>
          <w:sz w:val="22"/>
        </w:rPr>
      </w:r>
    </w:p>
    <w:p>
      <w:pPr>
        <w:pStyle w:val="Normal"/>
        <w:numPr>
          <w:ilvl w:val="0"/>
          <w:numId w:val="2"/>
        </w:numPr>
        <w:tabs>
          <w:tab w:val="clear" w:pos="720"/>
          <w:tab w:val="left" w:pos="-1080" w:leader="none"/>
          <w:tab w:val="left" w:pos="-720" w:leader="none"/>
          <w:tab w:val="left" w:pos="1890" w:leader="none"/>
        </w:tabs>
        <w:jc w:val="both"/>
        <w:rPr>
          <w:color w:val="000000"/>
          <w:sz w:val="22"/>
        </w:rPr>
      </w:pPr>
      <w:r>
        <w:rPr>
          <w:color w:val="000000"/>
          <w:sz w:val="22"/>
        </w:rPr>
        <w:t xml:space="preserve">Party B shall hold Posted Collateral only through a Custodian at any time that Party B, if Party B is rated, shall fail to maintain Credit Rating of at least Baa3 from Moody’s or BBB- from S&amp;P or BBB from DBRS.  If Party B is not rated by Moody’s or S&amp;P or DBRS, it shall hold Posted Collateral only through a Custodian. </w:t>
      </w:r>
    </w:p>
    <w:p>
      <w:pPr>
        <w:pStyle w:val="EndnoteText"/>
        <w:widowControl/>
        <w:jc w:val="both"/>
        <w:rPr>
          <w:rFonts w:ascii="Times New Roman" w:hAnsi="Times New Roman" w:cs="Times New Roman"/>
          <w:color w:val="000000"/>
          <w:sz w:val="22"/>
        </w:rPr>
      </w:pPr>
      <w:r>
        <w:rPr>
          <w:rFonts w:cs="Times New Roman" w:ascii="Times New Roman" w:hAnsi="Times New Roman"/>
          <w:color w:val="000000"/>
          <w:sz w:val="22"/>
        </w:rPr>
      </w:r>
    </w:p>
    <w:p>
      <w:pPr>
        <w:pStyle w:val="Normal"/>
        <w:numPr>
          <w:ilvl w:val="0"/>
          <w:numId w:val="2"/>
        </w:numPr>
        <w:tabs>
          <w:tab w:val="clear" w:pos="720"/>
          <w:tab w:val="left" w:pos="1890" w:leader="none"/>
        </w:tabs>
        <w:jc w:val="both"/>
        <w:rPr>
          <w:color w:val="000000"/>
          <w:sz w:val="22"/>
        </w:rPr>
      </w:pPr>
      <w:r>
        <w:rPr>
          <w:color w:val="000000"/>
          <w:sz w:val="22"/>
        </w:rPr>
        <w:t>The Custodian shall be a Qualified Institution.</w:t>
      </w:r>
    </w:p>
    <w:p>
      <w:pPr>
        <w:pStyle w:val="Normal"/>
        <w:jc w:val="both"/>
        <w:rPr>
          <w:color w:val="000000"/>
          <w:sz w:val="22"/>
        </w:rPr>
      </w:pPr>
      <w:r>
        <w:rPr>
          <w:color w:val="000000"/>
          <w:sz w:val="22"/>
        </w:rPr>
      </w:r>
    </w:p>
    <w:p>
      <w:pPr>
        <w:pStyle w:val="Normal"/>
        <w:numPr>
          <w:ilvl w:val="0"/>
          <w:numId w:val="2"/>
        </w:numPr>
        <w:tabs>
          <w:tab w:val="clear" w:pos="720"/>
          <w:tab w:val="left" w:pos="1890" w:leader="none"/>
        </w:tabs>
        <w:jc w:val="both"/>
        <w:rPr>
          <w:color w:val="000000"/>
          <w:sz w:val="22"/>
        </w:rPr>
      </w:pPr>
      <w:r>
        <w:rPr>
          <w:color w:val="000000"/>
          <w:sz w:val="22"/>
        </w:rPr>
        <w:t>Posted Collateral may be moved from one Custodian to another Custodian, subject to the condition precedents that the new Custodian shall be a Qualified Institution and reasonable advance notice shall be given in writing to Party A.  Party B shall cause statements concerning the Posted Collateral held by any Custodian to be delivered to Party A on request, which may be made not more frequently than once in each calendar month.  In the event that a Custodian ceases to be a Qualified Institution, Party A may request in writing that Party B cause the Posted Collateral to be moved to a new Custodian that is a Qualified Institution.  Party B shall cause the Posted Collateral to be moved to a new Custodian that is a Qualified Institution, as soon as reasonably possible, and in any event no later that 30 days after receipt of such written request from Party A.</w:t>
      </w:r>
    </w:p>
    <w:p>
      <w:pPr>
        <w:pStyle w:val="Normal"/>
        <w:rPr>
          <w:color w:val="000000"/>
          <w:sz w:val="22"/>
        </w:rPr>
      </w:pPr>
      <w:r>
        <w:rPr>
          <w:color w:val="000000"/>
          <w:sz w:val="22"/>
        </w:rPr>
      </w:r>
    </w:p>
    <w:p>
      <w:pPr>
        <w:pStyle w:val="Normal"/>
        <w:numPr>
          <w:ilvl w:val="0"/>
          <w:numId w:val="2"/>
        </w:numPr>
        <w:tabs>
          <w:tab w:val="clear" w:pos="720"/>
          <w:tab w:val="left" w:pos="1890" w:leader="none"/>
        </w:tabs>
        <w:rPr>
          <w:color w:val="000000"/>
          <w:sz w:val="22"/>
        </w:rPr>
      </w:pPr>
      <w:r>
        <w:rPr>
          <w:color w:val="000000"/>
          <w:sz w:val="22"/>
        </w:rPr>
        <w:t>Posted Collateral may be held only in the Provinces of Ontario and Alberta and the lower 48 of the United States.</w:t>
      </w:r>
    </w:p>
    <w:p>
      <w:pPr>
        <w:pStyle w:val="Normal"/>
        <w:ind w:start="720" w:end="0"/>
        <w:jc w:val="both"/>
        <w:rPr>
          <w:color w:val="000000"/>
          <w:sz w:val="22"/>
        </w:rPr>
      </w:pPr>
      <w:r>
        <w:rPr>
          <w:color w:val="000000"/>
          <w:sz w:val="22"/>
        </w:rPr>
      </w:r>
    </w:p>
    <w:p>
      <w:pPr>
        <w:pStyle w:val="Normal"/>
        <w:ind w:start="720" w:end="0"/>
        <w:jc w:val="both"/>
        <w:rPr/>
      </w:pPr>
      <w:r>
        <w:rPr>
          <w:color w:val="000000"/>
          <w:sz w:val="22"/>
        </w:rPr>
        <w:t xml:space="preserve">(ii)  </w:t>
      </w:r>
      <w:r>
        <w:rPr>
          <w:b/>
          <w:bCs/>
          <w:color w:val="000000"/>
          <w:sz w:val="22"/>
        </w:rPr>
        <w:t>Use of Posted Collateral.</w:t>
      </w:r>
      <w:r>
        <w:rPr>
          <w:color w:val="000000"/>
          <w:sz w:val="22"/>
        </w:rPr>
        <w:t xml:space="preserve">  The provisions of Paragraph 6(c)(i) will not apply to either party and the parties will not be permitted to use the Posted Collateral in the manner described in Paragraph 6(c)(i) except in respect of Cash, in which case the provisions of Paragraph 6(c)(i) will apply to each party so long as such party is eligible to hold Posted Collateral.  To the extent</w:t>
      </w:r>
      <w:r>
        <w:rPr>
          <w:color w:val="000000"/>
          <w:sz w:val="22"/>
          <w:szCs w:val="22"/>
        </w:rPr>
        <w:t xml:space="preserve">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(h)</w:t>
        <w:tab/>
      </w:r>
      <w:r>
        <w:rPr>
          <w:b/>
          <w:bCs/>
          <w:color w:val="000000"/>
          <w:sz w:val="22"/>
          <w:szCs w:val="22"/>
        </w:rPr>
        <w:t>Distributions and Interest Amount.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Interest Rate.</w:t>
      </w:r>
      <w:r>
        <w:rPr>
          <w:color w:val="000000"/>
          <w:sz w:val="22"/>
          <w:szCs w:val="22"/>
        </w:rPr>
        <w:t xml:space="preserve">  The </w:t>
      </w:r>
      <w:r>
        <w:rPr>
          <w:b/>
          <w:bCs/>
          <w:color w:val="000000"/>
          <w:sz w:val="22"/>
          <w:szCs w:val="22"/>
        </w:rPr>
        <w:t>“Interest Rate”</w:t>
      </w:r>
      <w:r>
        <w:rPr>
          <w:color w:val="000000"/>
          <w:sz w:val="22"/>
          <w:szCs w:val="22"/>
        </w:rPr>
        <w:t xml:space="preserve"> will be </w:t>
      </w:r>
      <w:r>
        <w:rPr>
          <w:color w:val="000000"/>
          <w:sz w:val="22"/>
        </w:rPr>
        <w:t>for each day: (1) for Cash in the lawful currency of the United States of America, Federal Funds overnight rate minus ½ percent, and (2) for Cash in the lawful currency of Canada, the “1 Month Bankers’ Acceptance Rate” minus ½ percent, as reported from Bloomberg Financial Services (Screens BTMM USD and BTMM CAD).</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 of Interest Amount.</w:t>
      </w:r>
      <w:r>
        <w:rPr>
          <w:color w:val="000000"/>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color w:val="000000"/>
          <w:sz w:val="22"/>
          <w:szCs w:val="22"/>
        </w:rPr>
      </w:pPr>
      <w:r>
        <w:rPr>
          <w:color w:val="000000"/>
          <w:sz w:val="22"/>
          <w:szCs w:val="22"/>
        </w:rPr>
      </w:r>
    </w:p>
    <w:p>
      <w:pPr>
        <w:pStyle w:val="Normal"/>
        <w:ind w:hanging="720" w:start="720" w:end="0"/>
        <w:jc w:val="both"/>
        <w:rPr/>
      </w:pPr>
      <w:r>
        <w:rPr>
          <w:color w:val="000000"/>
          <w:sz w:val="22"/>
          <w:szCs w:val="22"/>
        </w:rPr>
        <w:t>(i)</w:t>
        <w:tab/>
      </w:r>
      <w:r>
        <w:rPr>
          <w:b/>
          <w:bCs/>
          <w:color w:val="000000"/>
          <w:sz w:val="22"/>
          <w:szCs w:val="22"/>
        </w:rPr>
        <w:t xml:space="preserve">Additional Representation(s) and Covenants.  </w:t>
      </w:r>
      <w:r>
        <w:rPr>
          <w:color w:val="000000"/>
          <w:sz w:val="22"/>
          <w:szCs w:val="22"/>
        </w:rPr>
        <w:t>None.</w:t>
      </w:r>
    </w:p>
    <w:p>
      <w:pPr>
        <w:pStyle w:val="Normal"/>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(j)</w:t>
        <w:tab/>
      </w:r>
      <w:r>
        <w:rPr>
          <w:b/>
          <w:bCs/>
          <w:color w:val="000000"/>
          <w:sz w:val="22"/>
          <w:szCs w:val="22"/>
        </w:rPr>
        <w:t>Other Eligible Support and Other Posted Support.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“Value”</w:t>
      </w:r>
      <w:r>
        <w:rPr>
          <w:color w:val="000000"/>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w:t>
      </w:r>
      <w:r>
        <w:rPr>
          <w:color w:val="000000"/>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All Other Eligible Support and Other Posted Support consisting of Letters of Credit shall be issued and maintained in accordance with the provisions set forth in </w:t>
      </w:r>
      <w:r>
        <w:rPr>
          <w:color w:val="000000"/>
          <w:sz w:val="22"/>
          <w:szCs w:val="22"/>
          <w:u w:val="single"/>
        </w:rPr>
        <w:t>Exhibit A</w:t>
      </w:r>
      <w:r>
        <w:rPr>
          <w:color w:val="000000"/>
          <w:sz w:val="22"/>
          <w:szCs w:val="22"/>
        </w:rPr>
        <w:t xml:space="preserve"> and </w:t>
      </w:r>
      <w:r>
        <w:rPr>
          <w:color w:val="000000"/>
          <w:sz w:val="22"/>
          <w:szCs w:val="22"/>
          <w:u w:val="single"/>
        </w:rPr>
        <w:t>Schedule 1</w:t>
      </w:r>
      <w:r>
        <w:rPr>
          <w:color w:val="000000"/>
          <w:sz w:val="22"/>
          <w:szCs w:val="22"/>
        </w:rPr>
        <w:t xml:space="preserve"> attached hereto.</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(k)</w:t>
        <w:tab/>
      </w:r>
      <w:r>
        <w:rPr>
          <w:b/>
          <w:bCs/>
          <w:color w:val="000000"/>
          <w:sz w:val="22"/>
          <w:szCs w:val="22"/>
        </w:rPr>
        <w:t>Demands and Notices.</w:t>
      </w:r>
    </w:p>
    <w:p>
      <w:pPr>
        <w:pStyle w:val="Normal"/>
        <w:keepNext w:val="true"/>
        <w:jc w:val="both"/>
        <w:rPr>
          <w:color w:val="000000"/>
          <w:sz w:val="22"/>
          <w:szCs w:val="22"/>
        </w:rPr>
      </w:pPr>
      <w:r>
        <w:rPr>
          <w:color w:val="000000"/>
          <w:sz w:val="22"/>
          <w:szCs w:val="22"/>
        </w:rPr>
      </w:r>
    </w:p>
    <w:p>
      <w:pPr>
        <w:pStyle w:val="Normal"/>
        <w:keepNext w:val="true"/>
        <w:jc w:val="both"/>
        <w:rPr>
          <w:color w:val="000000"/>
          <w:sz w:val="22"/>
          <w:szCs w:val="22"/>
        </w:rPr>
      </w:pPr>
      <w:r>
        <w:rPr>
          <w:color w:val="000000"/>
          <w:sz w:val="22"/>
          <w:szCs w:val="22"/>
        </w:rPr>
        <w:t>All demands, specifications, and notices under this Annex will be made pursuant to the Notices Section of this Agreement.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(l)</w:t>
        <w:tab/>
      </w:r>
      <w:r>
        <w:rPr>
          <w:b/>
          <w:bCs/>
          <w:color w:val="000000"/>
          <w:sz w:val="22"/>
          <w:szCs w:val="22"/>
        </w:rPr>
        <w:t>Addresses for Transfers.</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A:     To be provided in notice requesting delivery/return of Eligible Credit Support/Posted Credit Support.</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B:      To be provided in notice requesting delivery/return of Eligible Credit Support/Posted Credit Support.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(m)</w:t>
        <w:tab/>
      </w:r>
      <w:r>
        <w:rPr>
          <w:b/>
          <w:bCs/>
          <w:color w:val="000000"/>
          <w:sz w:val="22"/>
          <w:szCs w:val="22"/>
        </w:rPr>
        <w:t>Other Provisions.</w:t>
      </w:r>
    </w:p>
    <w:p>
      <w:pPr>
        <w:pStyle w:val="Normal"/>
        <w:keepNext w:val="true"/>
        <w:ind w:hanging="720" w:start="1440" w:end="0"/>
        <w:jc w:val="both"/>
        <w:rPr>
          <w:color w:val="000000"/>
          <w:sz w:val="22"/>
          <w:szCs w:val="22"/>
        </w:rPr>
      </w:pPr>
      <w:r>
        <w:rPr>
          <w:color w:val="000000"/>
          <w:sz w:val="22"/>
          <w:szCs w:val="22"/>
        </w:rPr>
      </w:r>
    </w:p>
    <w:p>
      <w:pPr>
        <w:pStyle w:val="Normal"/>
        <w:keepNext w:val="true"/>
        <w:ind w:hanging="720" w:start="1440" w:end="0"/>
        <w:jc w:val="both"/>
        <w:rPr>
          <w:color w:val="000000"/>
          <w:sz w:val="22"/>
          <w:szCs w:val="22"/>
        </w:rPr>
      </w:pPr>
      <w:r>
        <w:rPr>
          <w:color w:val="000000"/>
          <w:sz w:val="22"/>
          <w:szCs w:val="22"/>
        </w:rPr>
        <w:t>(i)  Paragraph 12 of this Annex is hereby amended by adding the following:</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Cash”</w:t>
      </w:r>
      <w:r>
        <w:rPr>
          <w:color w:val="000000"/>
          <w:sz w:val="22"/>
          <w:szCs w:val="22"/>
        </w:rPr>
        <w:t xml:space="preserve"> means the lawful currency of Canada or of the United States of America.</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Credit Rating”</w:t>
      </w:r>
      <w:r>
        <w:rPr>
          <w:color w:val="000000"/>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DBRS or the other specified rating agency or agencies.</w:t>
      </w:r>
    </w:p>
    <w:p>
      <w:pPr>
        <w:pStyle w:val="Normal"/>
        <w:tabs>
          <w:tab w:val="clear" w:pos="720"/>
          <w:tab w:val="left" w:pos="1080" w:leader="none"/>
        </w:tabs>
        <w:spacing w:lineRule="exact" w:line="240"/>
        <w:ind w:start="720" w:end="0"/>
        <w:jc w:val="both"/>
        <w:rPr>
          <w:b/>
          <w:bCs/>
          <w:color w:val="000000"/>
          <w:sz w:val="22"/>
          <w:szCs w:val="22"/>
        </w:rPr>
      </w:pPr>
      <w:r>
        <w:rPr>
          <w:b/>
          <w:bCs/>
          <w:color w:val="000000"/>
          <w:sz w:val="22"/>
          <w:szCs w:val="22"/>
        </w:rPr>
      </w:r>
    </w:p>
    <w:p>
      <w:pPr>
        <w:pStyle w:val="Normal"/>
        <w:tabs>
          <w:tab w:val="clear" w:pos="720"/>
          <w:tab w:val="left" w:pos="1080" w:leader="none"/>
        </w:tabs>
        <w:spacing w:lineRule="exact" w:line="240"/>
        <w:ind w:start="720" w:end="0"/>
        <w:jc w:val="both"/>
        <w:rPr/>
      </w:pPr>
      <w:r>
        <w:rPr>
          <w:b/>
          <w:bCs/>
          <w:color w:val="000000"/>
          <w:sz w:val="22"/>
        </w:rPr>
        <w:t>“</w:t>
      </w:r>
      <w:r>
        <w:rPr>
          <w:b/>
          <w:bCs/>
          <w:color w:val="000000"/>
          <w:sz w:val="22"/>
        </w:rPr>
        <w:t>DBRS”</w:t>
      </w:r>
      <w:r>
        <w:rPr>
          <w:color w:val="000000"/>
          <w:sz w:val="22"/>
        </w:rPr>
        <w:t xml:space="preserve"> shall mean Dominion Bond Rating Service Limited or its successor.</w:t>
      </w:r>
    </w:p>
    <w:p>
      <w:pPr>
        <w:pStyle w:val="Normal"/>
        <w:tabs>
          <w:tab w:val="clear" w:pos="720"/>
          <w:tab w:val="left" w:pos="1080" w:leader="none"/>
        </w:tabs>
        <w:spacing w:lineRule="exact" w:line="240"/>
        <w:ind w:start="720" w:end="0"/>
        <w:jc w:val="both"/>
        <w:rPr>
          <w:color w:val="000000"/>
          <w:sz w:val="22"/>
        </w:rPr>
      </w:pPr>
      <w:r>
        <w:rPr>
          <w:color w:val="000000"/>
          <w:sz w:val="22"/>
        </w:rPr>
      </w:r>
    </w:p>
    <w:p>
      <w:pPr>
        <w:pStyle w:val="Normal"/>
        <w:tabs>
          <w:tab w:val="clear" w:pos="720"/>
          <w:tab w:val="left" w:pos="1080" w:leader="none"/>
        </w:tabs>
        <w:spacing w:lineRule="exact" w:line="240"/>
        <w:ind w:start="720" w:end="0"/>
        <w:jc w:val="both"/>
        <w:rPr>
          <w:color w:val="000000"/>
          <w:sz w:val="22"/>
        </w:rPr>
      </w:pPr>
      <w:r>
        <w:rPr>
          <w:b/>
          <w:bCs/>
          <w:sz w:val="22"/>
          <w:szCs w:val="22"/>
        </w:rPr>
        <w:t>“</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 xml:space="preserve"> “</w:t>
      </w:r>
      <w:r>
        <w:rPr>
          <w:b/>
          <w:bCs/>
          <w:color w:val="000000"/>
          <w:sz w:val="22"/>
          <w:szCs w:val="22"/>
        </w:rPr>
        <w:t>Letter of Credit”</w:t>
      </w:r>
      <w:r>
        <w:rPr>
          <w:color w:val="000000"/>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color w:val="000000"/>
          <w:sz w:val="22"/>
          <w:szCs w:val="22"/>
          <w:u w:val="single"/>
        </w:rPr>
        <w:t>Schedule 1</w:t>
      </w:r>
      <w:r>
        <w:rPr>
          <w:color w:val="000000"/>
          <w:sz w:val="22"/>
          <w:szCs w:val="22"/>
        </w:rPr>
        <w:t xml:space="preserve"> attached hereto, with such changes to the terms in that form as the issuing bank may require and as may be acceptable to the party in whose favor the letter of credit is issued.  </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Moody’s”</w:t>
      </w:r>
      <w:r>
        <w:rPr>
          <w:color w:val="000000"/>
          <w:sz w:val="22"/>
          <w:szCs w:val="22"/>
        </w:rPr>
        <w:t xml:space="preserve"> means Moody’s Investors Service, Inc. or its successor.</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S&amp;P”</w:t>
      </w:r>
      <w:r>
        <w:rPr>
          <w:color w:val="000000"/>
          <w:sz w:val="22"/>
          <w:szCs w:val="22"/>
        </w:rPr>
        <w:t xml:space="preserve"> means the Standard &amp; Poor's Rating Group (a division of McGraw-Hill, Inc.) or its successor.</w:t>
      </w:r>
    </w:p>
    <w:p>
      <w:pPr>
        <w:pStyle w:val="Normal"/>
        <w:ind w:hanging="720"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  Paragraph 6(d)(i) is hereby amended by adding the following sentence:</w:t>
      </w:r>
    </w:p>
    <w:p>
      <w:pPr>
        <w:pStyle w:val="Normal"/>
        <w:ind w:hanging="720" w:start="720" w:end="0"/>
        <w:jc w:val="both"/>
        <w:rPr>
          <w:color w:val="000000"/>
          <w:sz w:val="22"/>
          <w:szCs w:val="22"/>
        </w:rPr>
      </w:pPr>
      <w:r>
        <w:rPr>
          <w:color w:val="000000"/>
          <w:sz w:val="22"/>
          <w:szCs w:val="22"/>
        </w:rPr>
      </w:r>
    </w:p>
    <w:p>
      <w:pPr>
        <w:pStyle w:val="BodyTextIndent3"/>
        <w:rPr>
          <w:color w:val="000000"/>
        </w:rPr>
      </w:pPr>
      <w:r>
        <w:rPr>
          <w:color w:val="000000"/>
        </w:rPr>
        <w:t>“</w:t>
      </w:r>
      <w:r>
        <w:rPr>
          <w:color w:val="000000"/>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color w:val="000000"/>
          <w:sz w:val="22"/>
          <w:szCs w:val="22"/>
        </w:rPr>
      </w:pPr>
      <w:r>
        <w:rPr>
          <w:color w:val="000000"/>
          <w:sz w:val="22"/>
          <w:szCs w:val="22"/>
        </w:rPr>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start="720" w:end="0"/>
        <w:jc w:val="both"/>
        <w:rPr>
          <w:color w:val="000000"/>
          <w:sz w:val="22"/>
          <w:szCs w:val="22"/>
        </w:rPr>
      </w:pPr>
      <w:r>
        <w:rPr>
          <w:color w:val="000000"/>
          <w:sz w:val="22"/>
          <w:szCs w:val="22"/>
        </w:rPr>
        <w:t xml:space="preserve">(iii)  Paragraph 7(i) is hereby amended by deleting the words “Eligible Collateral” and replacing them with the words “Eligible Credit Support.” </w:t>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jc w:val="center"/>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States/Canadian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4"/>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4"/>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by the beneficiary,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008" w:right="1008" w:gutter="0" w:header="720" w:top="1008" w:footer="720" w:bottom="1008"/>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ind w:end="180"/>
        <w:jc w:val="center"/>
        <w:rPr>
          <w:b/>
          <w:bCs/>
          <w:color w:val="000000"/>
          <w:sz w:val="22"/>
          <w:szCs w:val="22"/>
        </w:rPr>
      </w:pPr>
      <w:r>
        <w:rPr>
          <w:b/>
          <w:bCs/>
          <w:color w:val="000000"/>
          <w:sz w:val="22"/>
          <w:szCs w:val="22"/>
          <w:u w:val="single"/>
        </w:rPr>
        <w:t>EXHIBIT A</w:t>
      </w:r>
    </w:p>
    <w:p>
      <w:pPr>
        <w:pStyle w:val="Normal"/>
        <w:ind w:end="180"/>
        <w:jc w:val="center"/>
        <w:rPr>
          <w:b/>
          <w:bCs/>
          <w:color w:val="000000"/>
          <w:sz w:val="22"/>
          <w:szCs w:val="22"/>
        </w:rPr>
      </w:pPr>
      <w:r>
        <w:rPr>
          <w:b/>
          <w:bCs/>
          <w:color w:val="000000"/>
          <w:sz w:val="22"/>
          <w:szCs w:val="22"/>
        </w:rPr>
      </w:r>
    </w:p>
    <w:p>
      <w:pPr>
        <w:pStyle w:val="Normal"/>
        <w:ind w:end="180"/>
        <w:jc w:val="center"/>
        <w:rPr>
          <w:b/>
          <w:bCs/>
          <w:color w:val="000000"/>
          <w:sz w:val="22"/>
          <w:szCs w:val="22"/>
        </w:rPr>
      </w:pPr>
      <w:r>
        <w:rPr>
          <w:b/>
          <w:bCs/>
          <w:color w:val="000000"/>
          <w:sz w:val="22"/>
          <w:szCs w:val="22"/>
        </w:rPr>
        <w:t>ENRON CORP. GUARANTY</w:t>
      </w:r>
    </w:p>
    <w:p>
      <w:pPr>
        <w:pStyle w:val="Normal"/>
        <w:ind w:end="180"/>
        <w:jc w:val="center"/>
        <w:rPr>
          <w:b/>
          <w:bCs/>
          <w:color w:val="000000"/>
          <w:sz w:val="22"/>
          <w:szCs w:val="22"/>
        </w:rPr>
      </w:pPr>
      <w:r>
        <w:rPr>
          <w:b/>
          <w:bCs/>
          <w:color w:val="000000"/>
          <w:sz w:val="22"/>
          <w:szCs w:val="22"/>
        </w:rPr>
      </w:r>
    </w:p>
    <w:p>
      <w:pPr>
        <w:pStyle w:val="Normal"/>
        <w:ind w:end="180"/>
        <w:jc w:val="center"/>
        <w:rPr>
          <w:b/>
          <w:bCs/>
          <w:color w:val="000000"/>
          <w:sz w:val="22"/>
          <w:szCs w:val="22"/>
        </w:rPr>
      </w:pPr>
      <w:r>
        <w:rPr>
          <w:b/>
          <w:bCs/>
          <w:color w:val="000000"/>
          <w:sz w:val="22"/>
          <w:szCs w:val="22"/>
        </w:rPr>
        <w:t>(SEE ATTACHED)</w:t>
      </w:r>
    </w:p>
    <w:sectPr>
      <w:headerReference w:type="default" r:id="rId12"/>
      <w:headerReference w:type="first" r:id="rId13"/>
      <w:footerReference w:type="default" r:id="rId14"/>
      <w:footerReference w:type="first" r:id="rId15"/>
      <w:type w:val="nextPage"/>
      <w:pgSz w:w="12240" w:h="15840"/>
      <w:pgMar w:left="1440" w:right="1440" w:gutter="0" w:header="720" w:top="108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Courier New">
    <w:charset w:val="00" w:characterSet="windows-1252"/>
    <w:family w:val="modern"/>
    <w:pitch w:val="default"/>
  </w:font>
  <w:font w:name="CG Times (W1)">
    <w:altName w:val="Arial Unicode MS"/>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/mnt/main-storage/datasets/enron-docs/doc/795ctr_b_ecc__ontario_power_.doc</w:t>
    </w:r>
    <w:r>
      <w:rPr>
        <w:rStyle w:val="PageNumber"/>
        <w:sz w:val="16"/>
        <w:szCs w:val="16"/>
      </w:rPr>
      <w:fldChar w:fldCharType="end"/>
    </w:r>
  </w:p>
  <w:p>
    <w:pPr>
      <w:pStyle w:val="Footer"/>
      <w:jc w:val="center"/>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15</w:t>
    </w:r>
    <w:r>
      <w:rPr>
        <w:rStyle w:val="PageNumber"/>
        <w:sz w:val="20"/>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/mnt/main-storage/datasets/enron-docs/doc/795ctr_b_ecc__ontario_power_.doc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/mnt/main-storage/datasets/enron-docs/doc/795ctr_b_ecc__ontario_power_.doc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/mnt/main-storage/datasets/enron-docs/doc/795ctr_b_ecc__ontario_power_.doc</w:t>
    </w:r>
    <w:r>
      <w:rPr>
        <w:sz w:val="16"/>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/mnt/main-storage/datasets/enron-docs/doc/795ctr_b_ecc__ontario_power_.doc</w:t>
    </w:r>
    <w:r>
      <w:rPr>
        <w:sz w:val="16"/>
        <w:szCs w:val="16"/>
      </w:rPr>
      <w:fldChar w:fldCharType="end"/>
    </w:r>
  </w:p>
  <w:p>
    <w:pPr>
      <w:pStyle w:val="Footer"/>
      <w:widowControl/>
      <w:jc w:val="center"/>
      <w:rPr/>
    </w:pPr>
    <w:r>
      <w:rPr/>
      <w:t>Exhibit A</w:t>
    </w:r>
  </w:p>
  <w:p>
    <w:pPr>
      <w:pStyle w:val="Footer"/>
      <w:rPr>
        <w:sz w:val="8"/>
        <w:szCs w:val="8"/>
      </w:rPr>
    </w:pPr>
    <w:r>
      <w:rPr>
        <w:sz w:val="8"/>
        <w:szCs w:val="8"/>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30"/>
        </w:tabs>
        <w:ind w:start="1830" w:hanging="390"/>
      </w:pPr>
      <w:rPr>
        <w:i w:val="false"/>
        <w:u w:val="none"/>
        <w:b w:val="false"/>
      </w:rPr>
    </w:lvl>
  </w:abstractNum>
  <w:abstractNum w:abstractNumId="3">
    <w:lvl w:ilvl="0">
      <w:start w:val="1"/>
      <w:numFmt w:val="decimal"/>
      <w:lvlText w:val="(%1)"/>
      <w:lvlJc w:val="start"/>
      <w:pPr>
        <w:tabs>
          <w:tab w:val="num" w:pos="1830"/>
        </w:tabs>
        <w:ind w:start="1830" w:hanging="390"/>
      </w:pPr>
      <w:rPr>
        <w:i w:val="false"/>
        <w:u w:val="none"/>
        <w:b w:val="false"/>
      </w:rPr>
    </w:lvl>
  </w:abstractNum>
  <w:abstractNum w:abstractNumId="4">
    <w:lvl w:ilvl="0">
      <w:start w:val="1"/>
      <w:numFmt w:val="decimal"/>
      <w:lvlText w:val="%1."/>
      <w:lvlJc w:val="start"/>
      <w:pPr>
        <w:tabs>
          <w:tab w:val="num" w:pos="720"/>
        </w:tabs>
        <w:ind w:start="720" w:hanging="360"/>
      </w:pPr>
      <w:rPr/>
    </w:lvl>
  </w:abstractNum>
  <w:abstractNum w:abstractNumId="5">
    <w:lvl w:ilvl="0">
      <w:start w:val="4"/>
      <w:numFmt w:val="decimal"/>
      <w:lvlText w:val="(%1)"/>
      <w:lvlJc w:val="start"/>
      <w:pPr>
        <w:tabs>
          <w:tab w:val="num" w:pos="1830"/>
        </w:tabs>
        <w:ind w:start="1830" w:hanging="390"/>
      </w:pPr>
      <w:rPr/>
    </w:lvl>
  </w:abstractNum>
  <w:abstractNum w:abstractNumId="6">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outlineLvl w:val="4"/>
    </w:pPr>
    <w:rPr>
      <w:sz w:val="22"/>
    </w:rPr>
  </w:style>
  <w:style w:type="character" w:styleId="WW8Num4z0">
    <w:name w:val="WW8Num4z0"/>
    <w:qFormat/>
    <w:rPr/>
  </w:style>
  <w:style w:type="character" w:styleId="WW8Num5z0">
    <w:name w:val="WW8Num5z0"/>
    <w:qFormat/>
    <w:rPr/>
  </w:style>
  <w:style w:type="character" w:styleId="WW8Num7z0">
    <w:name w:val="WW8Num7z0"/>
    <w:qFormat/>
    <w:rPr>
      <w:b w:val="false"/>
      <w:i w:val="false"/>
      <w:u w:val="none"/>
    </w:rPr>
  </w:style>
  <w:style w:type="character" w:styleId="WW8Num8z0">
    <w:name w:val="WW8Num8z0"/>
    <w:qFormat/>
    <w:rPr/>
  </w:style>
  <w:style w:type="character" w:styleId="WW8Num9z0">
    <w:name w:val="WW8Num9z0"/>
    <w:qFormat/>
    <w:rPr/>
  </w:style>
  <w:style w:type="character" w:styleId="WW8Num10z0">
    <w:name w:val="WW8Num10z0"/>
    <w:qFormat/>
    <w:rPr>
      <w:sz w:val="20"/>
      <w:szCs w:val="20"/>
    </w:rPr>
  </w:style>
  <w:style w:type="character" w:styleId="WW8Num14z0">
    <w:name w:val="WW8Num14z0"/>
    <w:qFormat/>
    <w:rPr>
      <w:b w:val="false"/>
      <w:i w:val="false"/>
      <w:u w:val="none"/>
    </w:rPr>
  </w:style>
  <w:style w:type="character" w:styleId="WW8Num15z0">
    <w:name w:val="WW8Num15z0"/>
    <w:qFormat/>
    <w:rPr/>
  </w:style>
  <w:style w:type="character" w:styleId="WW8Num16z0">
    <w:name w:val="WW8Num16z0"/>
    <w:qFormat/>
    <w:rPr/>
  </w:style>
  <w:style w:type="character" w:styleId="WW8Num18z0">
    <w:name w:val="WW8Num18z0"/>
    <w:qFormat/>
    <w:rPr/>
  </w:style>
  <w:style w:type="character" w:styleId="WW8Num19z0">
    <w:name w:val="WW8Num19z0"/>
    <w:qFormat/>
    <w:rPr>
      <w:b w:val="false"/>
      <w:i w:val="false"/>
    </w:rPr>
  </w:style>
  <w:style w:type="character" w:styleId="WW8Num22z0">
    <w:name w:val="WW8Num22z0"/>
    <w:qFormat/>
    <w:rPr>
      <w:sz w:val="22"/>
      <w:szCs w:val="22"/>
    </w:rPr>
  </w:style>
  <w:style w:type="character" w:styleId="WW8Num23z0">
    <w:name w:val="WW8Num23z0"/>
    <w:qFormat/>
    <w:rPr/>
  </w:style>
  <w:style w:type="character" w:styleId="WW8Num25z0">
    <w:name w:val="WW8Num25z0"/>
    <w:qFormat/>
    <w:rPr/>
  </w:style>
  <w:style w:type="character" w:styleId="WW8Num27z0">
    <w:name w:val="WW8Num27z0"/>
    <w:qFormat/>
    <w:rPr/>
  </w:style>
  <w:style w:type="character" w:styleId="WW8Num28z0">
    <w:name w:val="WW8Num28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color w:val="000000"/>
    </w:rPr>
  </w:style>
  <w:style w:type="character" w:styleId="WW8Num36z0">
    <w:name w:val="WW8Num3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EndnoteText">
    <w:name w:val="endnote text"/>
    <w:basedOn w:val="Normal"/>
    <w:pPr>
      <w:widowControl w:val="false"/>
    </w:pPr>
    <w:rPr>
      <w:rFonts w:ascii="Courier New" w:hAnsi="Courier New" w:cs="Courier New"/>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2001-09-20T13:58:00Z</dcterms:created>
  <dc:creator>mheard</dc:creator>
  <dc:description/>
  <dc:language>en-CA</dc:language>
  <cp:lastModifiedBy>mcook</cp:lastModifiedBy>
  <cp:lastPrinted>2001-10-01T17:07:00Z</cp:lastPrinted>
  <dcterms:modified xsi:type="dcterms:W3CDTF">2001-10-01T19:37:00Z</dcterms:modified>
  <cp:revision>32</cp:revision>
  <dc:subject/>
  <dc:title>ISDA Multicurrency Agreement</dc:title>
</cp:coreProperties>
</file>