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7.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bCs/>
          <w:color w:val="000000"/>
          <w:sz w:val="22"/>
          <w:szCs w:val="22"/>
          <w:u w:val="single"/>
        </w:rPr>
      </w:pPr>
      <w:r>
        <w:rPr>
          <w:b/>
          <w:bCs/>
          <w:color w:val="000000"/>
          <w:sz w:val="22"/>
          <w:szCs w:val="22"/>
          <w:u w:val="single"/>
        </w:rPr>
        <w:t>DRAFT OF 09/29/2000</w:t>
      </w:r>
    </w:p>
    <w:p>
      <w:pPr>
        <w:pStyle w:val="Normal"/>
        <w:jc w:val="end"/>
        <w:rPr>
          <w:b/>
          <w:bCs/>
          <w:color w:val="000000"/>
          <w:sz w:val="22"/>
          <w:szCs w:val="22"/>
          <w:u w:val="single"/>
        </w:rPr>
      </w:pPr>
      <w:r>
        <w:rPr>
          <w:b/>
          <w:bCs/>
          <w:color w:val="000000"/>
          <w:sz w:val="22"/>
          <w:szCs w:val="22"/>
          <w:u w:val="single"/>
        </w:rPr>
      </w:r>
    </w:p>
    <w:p>
      <w:pPr>
        <w:pStyle w:val="BodyText3"/>
        <w:rPr>
          <w:color w:val="000000"/>
        </w:rPr>
      </w:pPr>
      <w:r>
        <w:rPr>
          <w:color w:val="000000"/>
        </w:rPr>
        <w:t>SCHEDULE</w:t>
        <w:br/>
        <w:t>to the</w:t>
        <w:br/>
        <w:t>MASTER AGREEMENT</w:t>
        <w:br/>
        <w:t>(Multicurrency-Cross Border)</w:t>
      </w:r>
    </w:p>
    <w:p>
      <w:pPr>
        <w:pStyle w:val="Normal"/>
        <w:tabs>
          <w:tab w:val="clear" w:pos="720"/>
          <w:tab w:val="center" w:pos="5760" w:leader="none"/>
        </w:tabs>
        <w:spacing w:before="120" w:after="0"/>
        <w:jc w:val="center"/>
        <w:rPr>
          <w:b/>
          <w:bCs/>
          <w:color w:val="000000"/>
          <w:sz w:val="22"/>
          <w:szCs w:val="22"/>
        </w:rPr>
      </w:pPr>
      <w:r>
        <w:rPr>
          <w:b/>
          <w:bCs/>
          <w:color w:val="000000"/>
          <w:sz w:val="22"/>
          <w:szCs w:val="22"/>
        </w:rPr>
        <w:t>dated as of September 28, 2000</w:t>
      </w:r>
    </w:p>
    <w:p>
      <w:pPr>
        <w:pStyle w:val="Normal"/>
        <w:tabs>
          <w:tab w:val="clear" w:pos="720"/>
          <w:tab w:val="center" w:pos="5760" w:leader="none"/>
        </w:tabs>
        <w:spacing w:before="120" w:after="0"/>
        <w:jc w:val="center"/>
        <w:rPr>
          <w:b/>
          <w:bCs/>
          <w:color w:val="000000"/>
          <w:sz w:val="22"/>
          <w:szCs w:val="22"/>
        </w:rPr>
      </w:pPr>
      <w:r>
        <w:rPr>
          <w:b/>
          <w:bCs/>
          <w:color w:val="000000"/>
          <w:sz w:val="22"/>
          <w:szCs w:val="22"/>
        </w:rPr>
        <w:t>between</w:t>
      </w:r>
    </w:p>
    <w:p>
      <w:pPr>
        <w:pStyle w:val="Normal"/>
        <w:tabs>
          <w:tab w:val="clear" w:pos="720"/>
          <w:tab w:val="center" w:pos="5760" w:leader="none"/>
        </w:tabs>
        <w:spacing w:before="120" w:after="0"/>
        <w:jc w:val="center"/>
        <w:rPr>
          <w:b/>
          <w:bCs/>
          <w:color w:val="000000"/>
          <w:sz w:val="22"/>
          <w:szCs w:val="22"/>
        </w:rPr>
      </w:pPr>
      <w:r>
        <w:rPr>
          <w:b/>
          <w:bCs/>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jc w:val="center"/>
              <w:rPr>
                <w:b/>
                <w:bCs/>
                <w:color w:val="000000"/>
                <w:sz w:val="22"/>
                <w:szCs w:val="22"/>
              </w:rPr>
            </w:pPr>
            <w:r>
              <w:rPr>
                <w:b/>
                <w:bCs/>
                <w:color w:val="000000"/>
                <w:sz w:val="22"/>
                <w:szCs w:val="22"/>
              </w:rPr>
              <w:t>ENRON CANADA CORP., a corporation organized under the law of the Province of Alberta (“Party A”), and</w:t>
            </w:r>
          </w:p>
        </w:tc>
        <w:tc>
          <w:tcPr>
            <w:tcW w:w="4788" w:type="dxa"/>
            <w:tcBorders/>
          </w:tcPr>
          <w:p>
            <w:pPr>
              <w:pStyle w:val="Normal"/>
              <w:tabs>
                <w:tab w:val="clear" w:pos="720"/>
                <w:tab w:val="center" w:pos="5760" w:leader="none"/>
              </w:tabs>
              <w:jc w:val="center"/>
              <w:rPr>
                <w:b/>
                <w:bCs/>
                <w:color w:val="000000"/>
                <w:sz w:val="22"/>
                <w:szCs w:val="22"/>
              </w:rPr>
            </w:pPr>
            <w:r>
              <w:rPr>
                <w:b/>
                <w:bCs/>
                <w:color w:val="000000"/>
                <w:sz w:val="22"/>
                <w:szCs w:val="22"/>
              </w:rPr>
              <w:t>ROYAL BANK OF CANADA, a Canadian chartered bank (“Party B”)</w:t>
            </w:r>
          </w:p>
        </w:tc>
      </w:tr>
    </w:tbl>
    <w:p>
      <w:pPr>
        <w:pStyle w:val="Normal"/>
        <w:spacing w:before="480" w:after="0"/>
        <w:jc w:val="both"/>
        <w:rPr/>
      </w:pPr>
      <w:r>
        <w:rPr>
          <w:b/>
          <w:bCs/>
          <w:color w:val="000000"/>
          <w:sz w:val="22"/>
          <w:szCs w:val="22"/>
        </w:rPr>
        <w:t>Part 1.</w:t>
      </w:r>
      <w:r>
        <w:rPr>
          <w:color w:val="000000"/>
          <w:sz w:val="22"/>
          <w:szCs w:val="22"/>
        </w:rPr>
        <w:t xml:space="preserve"> </w:t>
      </w:r>
      <w:r>
        <w:rPr>
          <w:b/>
          <w:bCs/>
          <w:color w:val="000000"/>
          <w:sz w:val="22"/>
          <w:szCs w:val="22"/>
        </w:rPr>
        <w:t>Termination Provisions.</w:t>
      </w:r>
    </w:p>
    <w:p>
      <w:pPr>
        <w:pStyle w:val="Normal"/>
        <w:spacing w:lineRule="exact" w:line="240" w:before="240" w:after="0"/>
        <w:ind w:firstLine="720" w:end="0"/>
        <w:jc w:val="both"/>
        <w:rPr/>
      </w:pPr>
      <w:r>
        <w:rPr>
          <w:color w:val="000000"/>
          <w:sz w:val="22"/>
          <w:szCs w:val="22"/>
        </w:rPr>
        <w:t>(a)</w:t>
        <w:tab/>
      </w:r>
      <w:r>
        <w:rPr>
          <w:b/>
          <w:bCs/>
          <w:color w:val="000000"/>
          <w:sz w:val="22"/>
          <w:szCs w:val="22"/>
        </w:rPr>
        <w:t>“Specified Entity”</w:t>
      </w:r>
      <w:r>
        <w:rPr>
          <w:color w:val="000000"/>
          <w:sz w:val="22"/>
          <w:szCs w:val="22"/>
        </w:rPr>
        <w:t xml:space="preserve"> means in relation to Party A, none; and in relation to Party B, none.</w:t>
      </w:r>
    </w:p>
    <w:p>
      <w:pPr>
        <w:pStyle w:val="Normal"/>
        <w:spacing w:lineRule="exact" w:line="240" w:before="240" w:after="0"/>
        <w:ind w:firstLine="720" w:end="0"/>
        <w:jc w:val="both"/>
        <w:rPr/>
      </w:pPr>
      <w:r>
        <w:rPr>
          <w:color w:val="000000"/>
          <w:sz w:val="22"/>
          <w:szCs w:val="22"/>
        </w:rPr>
        <w:t>(b)</w:t>
        <w:tab/>
        <w:t>The “</w:t>
      </w:r>
      <w:r>
        <w:rPr>
          <w:b/>
          <w:bCs/>
          <w:color w:val="000000"/>
          <w:sz w:val="22"/>
          <w:szCs w:val="22"/>
        </w:rPr>
        <w:t>Cross Default”</w:t>
      </w:r>
      <w:r>
        <w:rPr>
          <w:color w:val="000000"/>
          <w:sz w:val="22"/>
          <w:szCs w:val="22"/>
        </w:rPr>
        <w:t xml:space="preserve"> provisions of Section 5(a)(vi) will apply to Party A, and will apply to Party B.</w:t>
      </w:r>
    </w:p>
    <w:p>
      <w:pPr>
        <w:pStyle w:val="Normal"/>
        <w:spacing w:lineRule="exact" w:line="240" w:before="240" w:after="0"/>
        <w:ind w:start="360" w:end="0"/>
        <w:jc w:val="both"/>
        <w:rPr/>
      </w:pPr>
      <w:r>
        <w:rPr>
          <w:b/>
          <w:sz w:val="22"/>
        </w:rPr>
        <w:t>"Specified Indebtedness"</w:t>
      </w:r>
      <w:r>
        <w:rPr>
          <w:sz w:val="22"/>
        </w:rPr>
        <w:t xml:space="preserve"> will have the meaning specified in Section 14 of this Agreement; provided, however, that such term shall not include obligations in respect of deposits received in the ordinary course of either party’s banking business, if any.</w:t>
      </w:r>
    </w:p>
    <w:p>
      <w:pPr>
        <w:pStyle w:val="Normal"/>
        <w:spacing w:lineRule="exact" w:line="240" w:before="240" w:after="0"/>
        <w:ind w:start="360" w:end="0"/>
        <w:jc w:val="both"/>
        <w:rPr/>
      </w:pPr>
      <w:r>
        <w:rPr>
          <w:b/>
          <w:bCs/>
          <w:color w:val="000000"/>
          <w:sz w:val="22"/>
          <w:szCs w:val="22"/>
        </w:rPr>
        <w:t>“</w:t>
      </w:r>
      <w:r>
        <w:rPr>
          <w:b/>
          <w:bCs/>
          <w:color w:val="000000"/>
          <w:sz w:val="22"/>
          <w:szCs w:val="22"/>
        </w:rPr>
        <w:t>Threshold Amount”</w:t>
      </w:r>
      <w:r>
        <w:rPr>
          <w:color w:val="000000"/>
          <w:sz w:val="22"/>
          <w:szCs w:val="22"/>
        </w:rPr>
        <w:t xml:space="preserve"> means:  with respect to Party A, U.S. $100,000,000 (or its equivalent in another currency); with respect to Party A’s Credit Support Provider, U.S. $100,000,000 (or its equivalent in another currency); and with respect to Party B, U.S. $100,000,000 (or its equivalent in another currency);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such Threshold Amount shall apply individually and not collectively with respect to each entity set forth above notwithstanding anything to the contrary set forth in Section 5(a)(vi) of the Master Agreement.</w:t>
      </w:r>
    </w:p>
    <w:p>
      <w:pPr>
        <w:pStyle w:val="Normal"/>
        <w:spacing w:lineRule="exact" w:line="240" w:before="240" w:after="0"/>
        <w:ind w:firstLine="720" w:end="0"/>
        <w:jc w:val="both"/>
        <w:rPr/>
      </w:pP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 and to any Credit Support Provider or Specified Entity of Party A or Party B.</w:t>
      </w:r>
    </w:p>
    <w:p>
      <w:pPr>
        <w:pStyle w:val="Normal"/>
        <w:spacing w:lineRule="exact" w:line="240" w:before="240" w:after="0"/>
        <w:ind w:firstLine="720" w:end="0"/>
        <w:jc w:val="both"/>
        <w:rPr/>
      </w:pPr>
      <w:r>
        <w:rPr>
          <w:color w:val="000000"/>
          <w:sz w:val="22"/>
          <w:szCs w:val="22"/>
        </w:rPr>
        <w:t>(d)</w:t>
        <w:tab/>
        <w:t xml:space="preserve">The </w:t>
      </w:r>
      <w:r>
        <w:rPr>
          <w:b/>
          <w:bCs/>
          <w:color w:val="000000"/>
          <w:sz w:val="22"/>
          <w:szCs w:val="22"/>
        </w:rPr>
        <w:t>“Automatic Early Termination”</w:t>
      </w:r>
      <w:r>
        <w:rPr>
          <w:color w:val="000000"/>
          <w:sz w:val="22"/>
          <w:szCs w:val="22"/>
        </w:rPr>
        <w:t xml:space="preserve"> provision of Section 6(a) will not apply to Party A or to Party B.</w:t>
      </w:r>
    </w:p>
    <w:p>
      <w:pPr>
        <w:pStyle w:val="Normal"/>
        <w:spacing w:lineRule="exact" w:line="240" w:before="240" w:after="0"/>
        <w:ind w:firstLine="720" w:end="0"/>
        <w:jc w:val="both"/>
        <w:rPr/>
      </w:pPr>
      <w:r>
        <w:rPr>
          <w:color w:val="000000"/>
          <w:sz w:val="22"/>
          <w:szCs w:val="22"/>
        </w:rPr>
        <w:t>(e)</w:t>
        <w:tab/>
      </w:r>
      <w:r>
        <w:rPr>
          <w:b/>
          <w:bCs/>
          <w:color w:val="000000"/>
          <w:sz w:val="22"/>
          <w:szCs w:val="22"/>
        </w:rPr>
        <w:t>Payments on Early Termination.</w:t>
      </w:r>
      <w:r>
        <w:rPr>
          <w:color w:val="000000"/>
          <w:sz w:val="22"/>
          <w:szCs w:val="22"/>
        </w:rPr>
        <w:t xml:space="preserve">  For the purpose of Section 6(e):  (i) Market Quotation will apply, and (ii) the Second Method will apply.</w:t>
      </w:r>
    </w:p>
    <w:p>
      <w:pPr>
        <w:pStyle w:val="Normal"/>
        <w:spacing w:lineRule="exact" w:line="240" w:before="240" w:after="0"/>
        <w:ind w:firstLine="720" w:end="0"/>
        <w:jc w:val="both"/>
        <w:rPr/>
      </w:pPr>
      <w:r>
        <w:rPr>
          <w:color w:val="000000"/>
          <w:sz w:val="22"/>
          <w:szCs w:val="22"/>
        </w:rPr>
        <w:t>(f)</w:t>
        <w:tab/>
      </w:r>
      <w:r>
        <w:rPr>
          <w:b/>
          <w:bCs/>
          <w:color w:val="000000"/>
          <w:sz w:val="22"/>
          <w:szCs w:val="22"/>
        </w:rPr>
        <w:t>“Termination Currency”</w:t>
      </w:r>
      <w:r>
        <w:rPr>
          <w:color w:val="000000"/>
          <w:sz w:val="22"/>
          <w:szCs w:val="22"/>
        </w:rPr>
        <w:t xml:space="preserve"> means Canadian Dollars.</w:t>
      </w:r>
    </w:p>
    <w:p>
      <w:pPr>
        <w:pStyle w:val="Normal"/>
        <w:spacing w:lineRule="exact" w:line="240" w:before="240" w:after="0"/>
        <w:ind w:firstLine="720" w:end="0"/>
        <w:jc w:val="both"/>
        <w:rPr/>
      </w:pPr>
      <w:r>
        <w:rPr>
          <w:color w:val="000000"/>
          <w:sz w:val="22"/>
          <w:szCs w:val="22"/>
        </w:rPr>
        <w:t>(g)</w:t>
        <w:tab/>
        <w:t>Section 5(b)(iv) is hereby amended by adding the following phrase between the closing parenthesis and the semicolon at the end thereof: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color w:val="000000"/>
          <w:sz w:val="22"/>
          <w:szCs w:val="22"/>
          <w:u w:val="single"/>
        </w:rPr>
        <w:t>Annex A</w:t>
      </w:r>
      <w:r>
        <w:rPr>
          <w:color w:val="000000"/>
          <w:sz w:val="22"/>
          <w:szCs w:val="22"/>
        </w:rPr>
        <w:t xml:space="preserve">, but it shall be otherwise administered under </w:t>
      </w:r>
      <w:r>
        <w:rPr>
          <w:color w:val="000000"/>
          <w:sz w:val="22"/>
          <w:szCs w:val="22"/>
          <w:u w:val="single"/>
        </w:rPr>
        <w:t>Annex A</w:t>
      </w:r>
      <w:r>
        <w:rPr>
          <w:color w:val="000000"/>
          <w:sz w:val="22"/>
          <w:szCs w:val="22"/>
        </w:rPr>
        <w:t>.”</w:t>
      </w:r>
    </w:p>
    <w:p>
      <w:pPr>
        <w:pStyle w:val="Normal"/>
        <w:spacing w:lineRule="exact" w:line="240" w:before="240" w:after="0"/>
        <w:ind w:firstLine="720" w:end="0"/>
        <w:jc w:val="both"/>
        <w:rPr>
          <w:color w:val="FF0000"/>
          <w:sz w:val="22"/>
          <w:szCs w:val="22"/>
        </w:rPr>
      </w:pPr>
      <w:r>
        <w:rPr>
          <w:sz w:val="22"/>
          <w:szCs w:val="22"/>
        </w:rPr>
        <w:t>(h)</w:t>
      </w:r>
      <w:r>
        <w:rPr>
          <w:b/>
          <w:bCs/>
          <w:sz w:val="22"/>
          <w:szCs w:val="22"/>
        </w:rPr>
        <w:tab/>
        <w:t>Additional Event of Default.</w:t>
      </w:r>
      <w:r>
        <w:rPr>
          <w:sz w:val="22"/>
          <w:szCs w:val="22"/>
        </w:rPr>
        <w:t xml:space="preserve">  The following will constitute an additional Event of Default for purposes of Section 5(a):</w:t>
      </w:r>
    </w:p>
    <w:p>
      <w:pPr>
        <w:pStyle w:val="Normal"/>
        <w:numPr>
          <w:ilvl w:val="0"/>
          <w:numId w:val="6"/>
        </w:numPr>
        <w:spacing w:lineRule="atLeast" w:line="240" w:before="240" w:after="0"/>
        <w:jc w:val="both"/>
        <w:rPr>
          <w:sz w:val="22"/>
          <w:szCs w:val="22"/>
        </w:rPr>
      </w:pPr>
      <w:r>
        <w:rPr>
          <w:sz w:val="22"/>
          <w:szCs w:val="22"/>
        </w:rPr>
        <w:t>The occurrence of a Material Adverse Change (as such term is defined in Paragraph 13 of the Credit Support Annex) with respect to Party A or to Party B.</w:t>
      </w:r>
    </w:p>
    <w:p>
      <w:pPr>
        <w:pStyle w:val="Normal"/>
        <w:spacing w:lineRule="exact" w:line="240" w:before="480" w:after="0"/>
        <w:jc w:val="both"/>
        <w:rPr>
          <w:color w:val="000000"/>
          <w:sz w:val="22"/>
          <w:szCs w:val="22"/>
        </w:rPr>
      </w:pPr>
      <w:r>
        <w:rPr>
          <w:b/>
          <w:bCs/>
          <w:color w:val="000000"/>
          <w:sz w:val="22"/>
          <w:szCs w:val="22"/>
        </w:rPr>
        <w:t>Part 2.  Tax Representations.</w:t>
      </w:r>
    </w:p>
    <w:p>
      <w:pPr>
        <w:pStyle w:val="Normal"/>
        <w:spacing w:lineRule="exact" w:line="240" w:before="240" w:after="0"/>
        <w:ind w:start="720" w:end="720"/>
        <w:jc w:val="both"/>
        <w:rPr>
          <w:color w:val="000000"/>
          <w:sz w:val="22"/>
          <w:szCs w:val="22"/>
        </w:rPr>
      </w:pPr>
      <w:r>
        <w:rPr>
          <w:color w:val="000000"/>
          <w:sz w:val="22"/>
          <w:szCs w:val="22"/>
        </w:rPr>
        <w:t>For the purpose of Section 3(e), Party A and Party B make the following representations:</w:t>
      </w:r>
    </w:p>
    <w:p>
      <w:pPr>
        <w:pStyle w:val="Normal"/>
        <w:spacing w:lineRule="exact" w:line="240" w:before="240" w:after="0"/>
        <w:ind w:start="720" w:end="720"/>
        <w:jc w:val="both"/>
        <w:rPr>
          <w:color w:val="000000"/>
          <w:sz w:val="22"/>
          <w:szCs w:val="22"/>
        </w:rPr>
      </w:pPr>
      <w:r>
        <w:rPr>
          <w:color w:val="000000"/>
          <w:sz w:val="22"/>
          <w:szCs w:val="22"/>
        </w:rPr>
        <w:t>(1) It is a resident of Canada for purposes of the Income Tax Act (Canada) and as such the other party is not required by any applicable law or authority to withhold or deduct for taxes any amount from such other party’s payments due hereunder, (2) during the term hereof, it will not be doing business in any jurisdiction that imposes any withholding tax or similar levy on any payment made or received by it under this Agreement, and (3) upon reasonable demand by such other party, it will deliver to the other party (or such government or taxing authority as the other party reasonably directs) any form or document, completed accurately and satisfactorily, that may be required or reasonably requested in writing in order to allow such other party to make a payment hereunder without any deduction or withholding for or on account of any tax or with such deduction or withholding at a reduced rate (so long as the completion, execution or submission of such form or document would not materially prejudice the legal or commercial position of the party in receipt of such demand).</w:t>
      </w:r>
    </w:p>
    <w:p>
      <w:pPr>
        <w:pStyle w:val="Normal"/>
        <w:spacing w:lineRule="exact" w:line="240" w:before="480" w:after="0"/>
        <w:jc w:val="both"/>
        <w:rPr>
          <w:color w:val="000000"/>
          <w:sz w:val="22"/>
          <w:szCs w:val="22"/>
        </w:rPr>
      </w:pPr>
      <w:r>
        <w:rPr>
          <w:b/>
          <w:bCs/>
          <w:color w:val="000000"/>
          <w:sz w:val="22"/>
          <w:szCs w:val="22"/>
        </w:rPr>
        <w:t>Part 3.  Agreement to Deliver Documents.</w:t>
      </w:r>
    </w:p>
    <w:p>
      <w:pPr>
        <w:pStyle w:val="Normal"/>
        <w:spacing w:lineRule="exact" w:line="240" w:before="240" w:after="0"/>
        <w:ind w:firstLine="720" w:end="0"/>
        <w:jc w:val="both"/>
        <w:rPr>
          <w:color w:val="000000"/>
          <w:sz w:val="22"/>
          <w:szCs w:val="22"/>
        </w:rPr>
      </w:pPr>
      <w:r>
        <w:rPr>
          <w:color w:val="000000"/>
          <w:sz w:val="22"/>
          <w:szCs w:val="22"/>
        </w:rPr>
        <w:t>For the purpose of Section 4(a), each party agrees to deliver the following documents, as applicable:</w:t>
      </w:r>
    </w:p>
    <w:p>
      <w:pPr>
        <w:pStyle w:val="Normal"/>
        <w:spacing w:lineRule="exact" w:line="240" w:before="240" w:after="0"/>
        <w:jc w:val="both"/>
        <w:rPr>
          <w:color w:val="000000"/>
          <w:sz w:val="22"/>
          <w:szCs w:val="22"/>
        </w:rPr>
      </w:pPr>
      <w:r>
        <w:rPr>
          <w:color w:val="000000"/>
          <w:sz w:val="22"/>
          <w:szCs w:val="22"/>
        </w:rPr>
        <w:t>(a)</w:t>
        <w:tab/>
        <w:t>Tax forms, documents, or certificates to be delivered are:  none.</w:t>
      </w:r>
    </w:p>
    <w:p>
      <w:pPr>
        <w:pStyle w:val="Normal"/>
        <w:spacing w:lineRule="exact" w:line="240" w:before="240" w:after="0"/>
        <w:jc w:val="both"/>
        <w:rPr/>
      </w:pPr>
      <w:r>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color w:val="000000"/>
                <w:sz w:val="22"/>
                <w:szCs w:val="22"/>
              </w:rPr>
            </w:pPr>
            <w:r>
              <w:rPr>
                <w:b/>
                <w:bCs/>
                <w:color w:val="000000"/>
                <w:sz w:val="22"/>
                <w:szCs w:val="22"/>
              </w:rPr>
              <w:t xml:space="preserve">Party required to deliver </w:t>
            </w:r>
            <w:r>
              <w:rPr>
                <w:b/>
                <w:bCs/>
                <w:color w:val="000000"/>
                <w:sz w:val="22"/>
                <w:szCs w:val="22"/>
                <w:u w:val="single"/>
              </w:rPr>
              <w:t>document</w:t>
            </w:r>
          </w:p>
        </w:tc>
        <w:tc>
          <w:tcPr>
            <w:tcW w:w="3886" w:type="dxa"/>
            <w:tcBorders/>
            <w:vAlign w:val="bottom"/>
          </w:tcPr>
          <w:p>
            <w:pPr>
              <w:pStyle w:val="Normal"/>
              <w:spacing w:lineRule="atLeast" w:line="240" w:before="240" w:after="0"/>
              <w:rPr>
                <w:color w:val="000000"/>
                <w:sz w:val="22"/>
                <w:szCs w:val="22"/>
                <w:u w:val="single"/>
              </w:rPr>
            </w:pPr>
            <w:r>
              <w:rPr>
                <w:b/>
                <w:bCs/>
                <w:color w:val="000000"/>
                <w:sz w:val="22"/>
                <w:szCs w:val="22"/>
                <w:u w:val="single"/>
              </w:rPr>
              <w:t>Form/Document/Certificate</w:t>
            </w:r>
          </w:p>
        </w:tc>
        <w:tc>
          <w:tcPr>
            <w:tcW w:w="2228" w:type="dxa"/>
            <w:tcBorders/>
            <w:vAlign w:val="bottom"/>
          </w:tcPr>
          <w:p>
            <w:pPr>
              <w:pStyle w:val="Normal"/>
              <w:spacing w:lineRule="atLeast" w:line="240" w:before="240" w:after="0"/>
              <w:rPr>
                <w:color w:val="000000"/>
                <w:sz w:val="22"/>
                <w:szCs w:val="22"/>
              </w:rPr>
            </w:pPr>
            <w:r>
              <w:rPr>
                <w:b/>
                <w:bCs/>
                <w:color w:val="000000"/>
                <w:sz w:val="22"/>
                <w:szCs w:val="22"/>
              </w:rPr>
              <w:t xml:space="preserve">Date by which to </w:t>
            </w:r>
            <w:r>
              <w:rPr>
                <w:b/>
                <w:bCs/>
                <w:color w:val="000000"/>
                <w:sz w:val="22"/>
                <w:szCs w:val="22"/>
                <w:u w:val="single"/>
              </w:rPr>
              <w:t>be delivered</w:t>
            </w:r>
          </w:p>
        </w:tc>
        <w:tc>
          <w:tcPr>
            <w:tcW w:w="1985" w:type="dxa"/>
            <w:tcBorders/>
            <w:vAlign w:val="bottom"/>
          </w:tcPr>
          <w:p>
            <w:pPr>
              <w:pStyle w:val="Normal"/>
              <w:spacing w:lineRule="atLeast" w:line="240" w:before="240" w:after="0"/>
              <w:jc w:val="center"/>
              <w:rPr>
                <w:color w:val="000000"/>
                <w:sz w:val="22"/>
                <w:szCs w:val="22"/>
              </w:rPr>
            </w:pPr>
            <w:r>
              <w:rPr>
                <w:b/>
                <w:bCs/>
                <w:color w:val="000000"/>
                <w:sz w:val="22"/>
                <w:szCs w:val="22"/>
              </w:rPr>
              <w:t xml:space="preserve">Covered by Section 3(d) </w:t>
            </w:r>
            <w:r>
              <w:rPr>
                <w:b/>
                <w:bCs/>
                <w:color w:val="000000"/>
                <w:sz w:val="22"/>
                <w:szCs w:val="22"/>
                <w:u w:val="single"/>
              </w:rPr>
              <w:t>Representation</w:t>
            </w:r>
          </w:p>
        </w:tc>
      </w:tr>
      <w:tr>
        <w:trPr/>
        <w:tc>
          <w:tcPr>
            <w:tcW w:w="1837" w:type="dxa"/>
            <w:tcBorders/>
          </w:tcPr>
          <w:p>
            <w:pPr>
              <w:pStyle w:val="Normal"/>
              <w:spacing w:lineRule="atLeast" w:line="240" w:before="240" w:after="0"/>
              <w:jc w:val="both"/>
              <w:rPr>
                <w:b/>
                <w:bCs/>
                <w:color w:val="000000"/>
                <w:sz w:val="22"/>
                <w:szCs w:val="22"/>
              </w:rPr>
            </w:pPr>
            <w:r>
              <w:rPr>
                <w:color w:val="000000"/>
                <w:sz w:val="22"/>
                <w:szCs w:val="22"/>
              </w:rPr>
              <w:t>Party A</w:t>
            </w:r>
          </w:p>
        </w:tc>
        <w:tc>
          <w:tcPr>
            <w:tcW w:w="3886" w:type="dxa"/>
            <w:tcBorders/>
          </w:tcPr>
          <w:p>
            <w:pPr>
              <w:pStyle w:val="Justified"/>
              <w:widowControl/>
              <w:spacing w:lineRule="atLeast" w:line="240" w:before="240" w:after="0"/>
              <w:rPr>
                <w:rFonts w:ascii="Times New Roman" w:hAnsi="Times New Roman" w:cs="Times New Roman"/>
                <w:b/>
                <w:bCs/>
                <w:color w:val="000000"/>
              </w:rPr>
            </w:pPr>
            <w:r>
              <w:rPr>
                <w:rFonts w:cs="Times New Roman" w:ascii="Times New Roman" w:hAnsi="Times New Roman"/>
                <w:color w:val="000000"/>
              </w:rPr>
              <w:t>Duly executed Credit Support Document specified in Part 4(d)</w:t>
            </w:r>
          </w:p>
        </w:tc>
        <w:tc>
          <w:tcPr>
            <w:tcW w:w="2228" w:type="dxa"/>
            <w:tcBorders/>
          </w:tcPr>
          <w:p>
            <w:pPr>
              <w:pStyle w:val="Normal"/>
              <w:spacing w:lineRule="atLeast" w:line="240" w:before="240" w:after="0"/>
              <w:jc w:val="both"/>
              <w:rPr>
                <w:b/>
                <w:bCs/>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color w:val="000000"/>
              </w:rPr>
            </w:pPr>
            <w:r>
              <w:rPr>
                <w:rFonts w:cs="Times New Roman" w:ascii="Times New Roman" w:hAnsi="Times New Roman"/>
                <w:color w:val="000000"/>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Normal"/>
              <w:spacing w:lineRule="atLeast" w:line="240" w:before="240" w:after="0"/>
              <w:jc w:val="both"/>
              <w:rPr>
                <w:b/>
                <w:bCs/>
                <w:color w:val="000000"/>
                <w:sz w:val="22"/>
                <w:szCs w:val="22"/>
              </w:rPr>
            </w:pPr>
            <w:r>
              <w:rPr>
                <w:color w:val="000000"/>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color w:val="000000"/>
              </w:rPr>
            </w:pPr>
            <w:r>
              <w:rPr>
                <w:rFonts w:cs="Times New Roman" w:ascii="Times New Roman" w:hAnsi="Times New Roman"/>
                <w:color w:val="000000"/>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Normal"/>
              <w:spacing w:lineRule="atLeast" w:line="240" w:before="240" w:after="0"/>
              <w:jc w:val="both"/>
              <w:rPr>
                <w:b/>
                <w:bCs/>
                <w:color w:val="000000"/>
                <w:sz w:val="22"/>
                <w:szCs w:val="22"/>
              </w:rPr>
            </w:pPr>
            <w:r>
              <w:rPr>
                <w:color w:val="000000"/>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color w:val="000000"/>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color w:val="000000"/>
              </w:rPr>
              <w:t xml:space="preserve"> </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Justified"/>
              <w:widowControl/>
              <w:spacing w:lineRule="atLeast" w:line="240" w:before="240" w:after="0"/>
              <w:rPr>
                <w:rFonts w:ascii="Times New Roman" w:hAnsi="Times New Roman" w:cs="Times New Roman"/>
                <w:b/>
                <w:bCs/>
                <w:color w:val="000000"/>
              </w:rPr>
            </w:pPr>
            <w:r>
              <w:rPr>
                <w:rFonts w:cs="Times New Roman" w:ascii="Times New Roman" w:hAnsi="Times New Roman"/>
                <w:color w:val="000000"/>
              </w:rPr>
              <w:t>Legal opinions in form and substance of Attachments 1-1, 1-2 and 1-3 attached hereto</w:t>
            </w:r>
          </w:p>
        </w:tc>
        <w:tc>
          <w:tcPr>
            <w:tcW w:w="2228" w:type="dxa"/>
            <w:tcBorders/>
          </w:tcPr>
          <w:p>
            <w:pPr>
              <w:pStyle w:val="Normal"/>
              <w:spacing w:lineRule="atLeast" w:line="240" w:before="240" w:after="0"/>
              <w:jc w:val="both"/>
              <w:rPr>
                <w:b/>
                <w:bCs/>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b/>
                <w:bCs/>
                <w:color w:val="000000"/>
                <w:sz w:val="22"/>
                <w:szCs w:val="22"/>
              </w:rPr>
            </w:pPr>
            <w:r>
              <w:rPr>
                <w:color w:val="000000"/>
                <w:sz w:val="22"/>
                <w:szCs w:val="22"/>
              </w:rPr>
              <w:t>No</w:t>
            </w:r>
          </w:p>
        </w:tc>
      </w:tr>
      <w:tr>
        <w:trPr/>
        <w:tc>
          <w:tcPr>
            <w:tcW w:w="1837"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Party B</w:t>
            </w:r>
          </w:p>
        </w:tc>
        <w:tc>
          <w:tcPr>
            <w:tcW w:w="3886" w:type="dxa"/>
            <w:tcBorders/>
          </w:tcPr>
          <w:p>
            <w:pPr>
              <w:pStyle w:val="Normal"/>
              <w:spacing w:lineRule="atLeast" w:line="240" w:before="240" w:after="0"/>
              <w:jc w:val="both"/>
              <w:rPr>
                <w:color w:val="000000"/>
                <w:sz w:val="22"/>
                <w:szCs w:val="22"/>
              </w:rPr>
            </w:pPr>
            <w:r>
              <w:rPr>
                <w:color w:val="000000"/>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color w:val="000000"/>
              </w:rPr>
            </w:pPr>
            <w:r>
              <w:rPr>
                <w:rFonts w:cs="Times New Roman" w:ascii="Times New Roman" w:hAnsi="Times New Roman"/>
                <w:color w:val="000000"/>
              </w:rPr>
              <w:t>Promptly following demand by Party A, but in no event later than 120 days after the end of each fiscal year of Party B</w:t>
            </w:r>
          </w:p>
        </w:tc>
        <w:tc>
          <w:tcPr>
            <w:tcW w:w="1985" w:type="dxa"/>
            <w:tcBorders/>
          </w:tcPr>
          <w:p>
            <w:pPr>
              <w:pStyle w:val="Justified"/>
              <w:widowControl/>
              <w:spacing w:lineRule="atLeast" w:line="240" w:before="240" w:after="0"/>
              <w:jc w:val="center"/>
              <w:rPr>
                <w:rFonts w:ascii="Times New Roman" w:hAnsi="Times New Roman" w:cs="Times New Roman"/>
                <w:color w:val="000000"/>
              </w:rPr>
            </w:pPr>
            <w:r>
              <w:rPr>
                <w:rFonts w:cs="Times New Roman" w:ascii="Times New Roman" w:hAnsi="Times New Roman"/>
                <w:color w:val="000000"/>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B</w:t>
            </w:r>
          </w:p>
        </w:tc>
        <w:tc>
          <w:tcPr>
            <w:tcW w:w="3886" w:type="dxa"/>
            <w:tcBorders/>
          </w:tcPr>
          <w:p>
            <w:pPr>
              <w:pStyle w:val="Normal"/>
              <w:spacing w:lineRule="atLeast" w:line="240" w:before="240" w:after="0"/>
              <w:jc w:val="both"/>
              <w:rPr>
                <w:color w:val="000000"/>
                <w:sz w:val="22"/>
                <w:szCs w:val="22"/>
              </w:rPr>
            </w:pPr>
            <w:r>
              <w:rPr>
                <w:color w:val="000000"/>
                <w:sz w:val="22"/>
                <w:szCs w:val="22"/>
              </w:rPr>
              <w:t>Quarterly Unaudited Consolidated Financial Statement of Party B</w:t>
            </w:r>
          </w:p>
        </w:tc>
        <w:tc>
          <w:tcPr>
            <w:tcW w:w="2228" w:type="dxa"/>
            <w:tcBorders/>
          </w:tcPr>
          <w:p>
            <w:pPr>
              <w:pStyle w:val="Normal"/>
              <w:spacing w:lineRule="atLeast" w:line="240" w:before="240" w:after="0"/>
              <w:rPr>
                <w:color w:val="000000"/>
                <w:sz w:val="22"/>
                <w:szCs w:val="22"/>
              </w:rPr>
            </w:pPr>
            <w:r>
              <w:rPr>
                <w:color w:val="000000"/>
                <w:sz w:val="22"/>
                <w:szCs w:val="22"/>
              </w:rPr>
              <w:t>Promptly following demand by Party A, but in no event later than 60 days after the end of each of the first three fiscal quarters of each fiscal year of Party B</w:t>
            </w:r>
          </w:p>
        </w:tc>
        <w:tc>
          <w:tcPr>
            <w:tcW w:w="1985" w:type="dxa"/>
            <w:tcBorders/>
          </w:tcPr>
          <w:p>
            <w:pPr>
              <w:pStyle w:val="Normal"/>
              <w:spacing w:lineRule="atLeast" w:line="240" w:before="240" w:after="0"/>
              <w:jc w:val="center"/>
              <w:rPr>
                <w:color w:val="000000"/>
                <w:sz w:val="22"/>
                <w:szCs w:val="22"/>
              </w:rPr>
            </w:pPr>
            <w:r>
              <w:rPr>
                <w:color w:val="000000"/>
                <w:sz w:val="22"/>
                <w:szCs w:val="22"/>
              </w:rPr>
              <w:t>Yes</w:t>
            </w:r>
          </w:p>
        </w:tc>
      </w:tr>
    </w:tbl>
    <w:p>
      <w:pPr>
        <w:pStyle w:val="Normal"/>
        <w:keepNext w:val="true"/>
        <w:spacing w:lineRule="exact" w:line="240" w:before="480" w:after="0"/>
        <w:jc w:val="both"/>
        <w:rPr>
          <w:b/>
          <w:bCs/>
          <w:color w:val="000000"/>
          <w:sz w:val="22"/>
          <w:szCs w:val="22"/>
        </w:rPr>
      </w:pPr>
      <w:r>
        <w:rPr>
          <w:b/>
          <w:bCs/>
          <w:color w:val="000000"/>
          <w:sz w:val="22"/>
          <w:szCs w:val="22"/>
        </w:rPr>
        <w:t>Part 4.  Miscellaneous.</w:t>
      </w:r>
    </w:p>
    <w:p>
      <w:pPr>
        <w:pStyle w:val="Normal"/>
        <w:keepNext w:val="true"/>
        <w:spacing w:lineRule="exact" w:line="240" w:before="240" w:after="0"/>
        <w:ind w:firstLine="720" w:end="0"/>
        <w:jc w:val="both"/>
        <w:rPr/>
      </w:pPr>
      <w:r>
        <w:rPr>
          <w:color w:val="000000"/>
          <w:sz w:val="22"/>
          <w:szCs w:val="22"/>
        </w:rPr>
        <w:t>(a)</w:t>
        <w:tab/>
      </w:r>
      <w:r>
        <w:rPr>
          <w:b/>
          <w:bCs/>
          <w:color w:val="000000"/>
          <w:sz w:val="22"/>
          <w:szCs w:val="22"/>
        </w:rPr>
        <w:t>Addresses for Notices.</w:t>
      </w:r>
      <w:r>
        <w:rPr>
          <w:color w:val="000000"/>
          <w:sz w:val="22"/>
          <w:szCs w:val="22"/>
        </w:rPr>
        <w:t xml:space="preserve">  Section 12(a) is hereby amended to delete the following phrase from the second and third line thereof:  “(except that a notice or other communication under Section 5 or6 may not be given by facsimile transmission or electronic messaging system)”.  For the purpose of Section 12(a) of this Agreement:</w:t>
      </w:r>
    </w:p>
    <w:p>
      <w:pPr>
        <w:pStyle w:val="Normal"/>
        <w:spacing w:lineRule="exact" w:line="240" w:before="240" w:after="0"/>
        <w:ind w:hanging="720" w:start="720" w:end="0"/>
        <w:jc w:val="both"/>
        <w:rPr>
          <w:color w:val="000000"/>
          <w:sz w:val="22"/>
          <w:szCs w:val="22"/>
        </w:rPr>
      </w:pPr>
      <w:r>
        <w:rPr>
          <w:color w:val="000000"/>
          <w:sz w:val="22"/>
          <w:szCs w:val="22"/>
        </w:rPr>
        <w:t>Address for notices or communications to Party A:</w:t>
      </w:r>
    </w:p>
    <w:p>
      <w:pPr>
        <w:pStyle w:val="Normal"/>
        <w:spacing w:lineRule="exact" w:line="240"/>
        <w:ind w:hanging="720" w:start="720" w:end="0"/>
        <w:jc w:val="both"/>
        <w:rPr>
          <w:color w:val="000000"/>
          <w:sz w:val="22"/>
          <w:szCs w:val="22"/>
        </w:rPr>
      </w:pPr>
      <w:r>
        <w:rPr>
          <w:color w:val="000000"/>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tabs>
                <w:tab w:val="left" w:pos="720" w:leader="none"/>
                <w:tab w:val="right" w:pos="9360" w:leader="dot"/>
              </w:tabs>
              <w:spacing w:lineRule="exact" w:line="240"/>
              <w:jc w:val="both"/>
              <w:rPr>
                <w:color w:val="000000"/>
                <w:sz w:val="22"/>
                <w:szCs w:val="22"/>
              </w:rPr>
            </w:pPr>
            <w:r>
              <w:rPr>
                <w:color w:val="000000"/>
                <w:sz w:val="22"/>
                <w:szCs w:val="22"/>
              </w:rPr>
              <w:t xml:space="preserve">Address: </w:t>
            </w:r>
          </w:p>
        </w:tc>
        <w:tc>
          <w:tcPr>
            <w:tcW w:w="4140" w:type="dxa"/>
            <w:tcBorders/>
          </w:tcPr>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Enron Canada Corp.</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color w:val="000000"/>
              </w:rPr>
            </w:pPr>
            <w:r>
              <w:rPr>
                <w:rFonts w:cs="Times New Roman" w:ascii="Times New Roman" w:hAnsi="Times New Roman"/>
                <w:color w:val="000000"/>
              </w:rPr>
              <w:t>400-3rd Avenue, Suite 3500</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Calgary, Alberta  T2P 4H2</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color w:val="000000"/>
                <w:sz w:val="22"/>
                <w:szCs w:val="22"/>
                <w:u w:val="single"/>
              </w:rPr>
            </w:pPr>
            <w:r>
              <w:rPr>
                <w:color w:val="000000"/>
                <w:sz w:val="22"/>
                <w:szCs w:val="22"/>
              </w:rPr>
              <w:t>Facsimile No.:  (403) 974-6706</w:t>
            </w:r>
          </w:p>
          <w:p>
            <w:pPr>
              <w:pStyle w:val="Normal"/>
              <w:tabs>
                <w:tab w:val="clear" w:pos="720"/>
                <w:tab w:val="left" w:pos="4230" w:leader="none"/>
                <w:tab w:val="left" w:pos="9360" w:leader="none"/>
              </w:tabs>
              <w:spacing w:lineRule="exact" w:line="240"/>
              <w:ind w:start="72" w:end="0"/>
              <w:jc w:val="both"/>
              <w:rPr>
                <w:color w:val="000000"/>
                <w:sz w:val="22"/>
                <w:szCs w:val="22"/>
              </w:rPr>
            </w:pPr>
            <w:r>
              <w:rPr>
                <w:color w:val="000000"/>
                <w:sz w:val="22"/>
                <w:szCs w:val="22"/>
              </w:rPr>
              <w:t>Telephone No.:  (403) 974-6700</w:t>
            </w:r>
          </w:p>
        </w:tc>
      </w:tr>
    </w:tbl>
    <w:p>
      <w:pPr>
        <w:pStyle w:val="Normal"/>
        <w:tabs>
          <w:tab w:val="clear" w:pos="720"/>
          <w:tab w:val="right" w:pos="9360" w:leader="dot"/>
        </w:tabs>
        <w:spacing w:lineRule="exact" w:line="240" w:before="240" w:after="0"/>
        <w:jc w:val="both"/>
        <w:rPr/>
      </w:pPr>
      <w:r>
        <w:rPr>
          <w:color w:val="000000"/>
          <w:sz w:val="22"/>
          <w:szCs w:val="22"/>
        </w:rPr>
        <w:t xml:space="preserve">A copy of any notice sent to Party A pursuant to Section 5 or 6 or </w:t>
      </w:r>
      <w:r>
        <w:rPr>
          <w:color w:val="000000"/>
          <w:sz w:val="22"/>
          <w:szCs w:val="22"/>
          <w:u w:val="single"/>
        </w:rPr>
        <w:t>Annex A</w:t>
      </w:r>
      <w:r>
        <w:rPr>
          <w:color w:val="000000"/>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color w:val="000000"/>
          <w:sz w:val="22"/>
          <w:szCs w:val="22"/>
        </w:rPr>
      </w:pPr>
      <w:r>
        <w:rPr>
          <w:color w:val="000000"/>
          <w:sz w:val="22"/>
          <w:szCs w:val="22"/>
        </w:rPr>
      </w:r>
    </w:p>
    <w:p>
      <w:pPr>
        <w:pStyle w:val="Normal"/>
        <w:tabs>
          <w:tab w:val="left" w:pos="720" w:leader="none"/>
          <w:tab w:val="right" w:pos="9360" w:leader="dot"/>
        </w:tabs>
        <w:spacing w:lineRule="exact" w:line="240"/>
        <w:ind w:hanging="720" w:start="720" w:end="0"/>
        <w:jc w:val="both"/>
        <w:rPr>
          <w:color w:val="000000"/>
          <w:sz w:val="22"/>
          <w:szCs w:val="22"/>
        </w:rPr>
      </w:pPr>
      <w:r>
        <w:rPr>
          <w:color w:val="000000"/>
          <w:sz w:val="22"/>
          <w:szCs w:val="22"/>
        </w:rPr>
        <w:t>Address for notices or communications to Party B:</w:t>
      </w:r>
    </w:p>
    <w:p>
      <w:pPr>
        <w:pStyle w:val="Normal"/>
        <w:tabs>
          <w:tab w:val="left" w:pos="720" w:leader="none"/>
          <w:tab w:val="right" w:pos="9360" w:leader="dot"/>
        </w:tabs>
        <w:spacing w:lineRule="exact" w:line="240"/>
        <w:ind w:hanging="720" w:start="720" w:end="0"/>
        <w:jc w:val="both"/>
        <w:rPr>
          <w:color w:val="000000"/>
          <w:sz w:val="22"/>
          <w:szCs w:val="22"/>
        </w:rPr>
      </w:pPr>
      <w:r>
        <w:rPr>
          <w:color w:val="000000"/>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 xml:space="preserve">Address: </w:t>
            </w:r>
          </w:p>
          <w:p>
            <w:pPr>
              <w:pStyle w:val="Normal"/>
              <w:keepNext w:val="true"/>
              <w:tabs>
                <w:tab w:val="clear" w:pos="720"/>
                <w:tab w:val="left" w:pos="2880" w:leader="none"/>
                <w:tab w:val="left" w:pos="9360" w:leader="none"/>
              </w:tabs>
              <w:spacing w:lineRule="atLeast" w:line="240"/>
              <w:jc w:val="both"/>
              <w:rPr>
                <w:color w:val="000000"/>
                <w:sz w:val="22"/>
                <w:szCs w:val="22"/>
              </w:rPr>
            </w:pPr>
            <w:r>
              <w:rPr>
                <w:color w:val="000000"/>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(for courier delivery)</w:t>
            </w:r>
            <w:r>
              <w:rPr>
                <w:color w:val="000000"/>
                <w:sz w:val="22"/>
                <w:szCs w:val="22"/>
                <w:u w:val="single"/>
              </w:rPr>
              <w:t xml:space="preserve"> </w:t>
            </w:r>
          </w:p>
          <w:p>
            <w:pPr>
              <w:pStyle w:val="Normal"/>
              <w:keepNext w:val="true"/>
              <w:tabs>
                <w:tab w:val="left" w:pos="720" w:leader="none"/>
                <w:tab w:val="right" w:pos="9360" w:leader="dot"/>
              </w:tabs>
              <w:spacing w:lineRule="exact" w:line="240"/>
              <w:jc w:val="both"/>
              <w:rPr>
                <w:color w:val="000000"/>
                <w:sz w:val="22"/>
                <w:szCs w:val="22"/>
              </w:rPr>
            </w:pPr>
            <w:r>
              <w:rPr>
                <w:color w:val="000000"/>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Royal Bank of Canada</w:t>
            </w:r>
          </w:p>
          <w:p>
            <w:pPr>
              <w:pStyle w:val="Normal"/>
              <w:keepNext w:val="true"/>
              <w:tabs>
                <w:tab w:val="clear" w:pos="720"/>
                <w:tab w:val="left" w:pos="3762" w:leader="none"/>
                <w:tab w:val="left" w:pos="4230" w:leader="none"/>
                <w:tab w:val="left" w:pos="9360" w:leader="none"/>
              </w:tabs>
              <w:spacing w:lineRule="exact" w:line="240"/>
              <w:jc w:val="both"/>
              <w:rPr/>
            </w:pPr>
            <w:r>
              <w:rPr>
                <w:color w:val="000000"/>
                <w:sz w:val="22"/>
                <w:szCs w:val="22"/>
              </w:rPr>
              <w:t>17</w:t>
            </w:r>
            <w:r>
              <w:rPr>
                <w:color w:val="000000"/>
                <w:sz w:val="22"/>
                <w:szCs w:val="22"/>
                <w:vertAlign w:val="superscript"/>
              </w:rPr>
              <w:t>th</w:t>
            </w:r>
            <w:r>
              <w:rPr>
                <w:color w:val="000000"/>
                <w:sz w:val="22"/>
                <w:szCs w:val="22"/>
              </w:rPr>
              <w:t xml:space="preserve"> Floor, South Tower</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Royal Bank Plaza</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200 Bay Street</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Toronto, Ontario  M5J 2J5</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Attn.:  Managing Director, Global Middle Office</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szCs w:val="22"/>
              </w:rPr>
            </w:pPr>
            <w:r>
              <w:rPr>
                <w:color w:val="000000"/>
                <w:sz w:val="22"/>
                <w:szCs w:val="22"/>
              </w:rPr>
              <w:t>Facsimile No.:  (416) 842-4331</w:t>
            </w:r>
          </w:p>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szCs w:val="22"/>
              </w:rPr>
            </w:pPr>
            <w:r>
              <w:rPr>
                <w:color w:val="000000"/>
                <w:sz w:val="22"/>
                <w:szCs w:val="22"/>
              </w:rPr>
              <w:t>Telephone No.:  (416) 842-6656</w:t>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color w:val="000000"/>
          <w:sz w:val="22"/>
          <w:szCs w:val="22"/>
        </w:rPr>
        <w:t>(b)</w:t>
        <w:tab/>
      </w:r>
      <w:r>
        <w:rPr>
          <w:b/>
          <w:bCs/>
          <w:color w:val="000000"/>
          <w:sz w:val="22"/>
          <w:szCs w:val="22"/>
        </w:rPr>
        <w:t>Offices; Multibranch Parties.</w:t>
      </w:r>
      <w:r>
        <w:rPr>
          <w:color w:val="000000"/>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color w:val="000000"/>
          <w:sz w:val="22"/>
          <w:szCs w:val="22"/>
        </w:rPr>
        <w:t>(c)</w:t>
        <w:tab/>
      </w:r>
      <w:r>
        <w:rPr>
          <w:b/>
          <w:bCs/>
          <w:color w:val="000000"/>
          <w:sz w:val="22"/>
          <w:szCs w:val="22"/>
        </w:rPr>
        <w:t>Calculation Agent.</w:t>
      </w:r>
      <w:r>
        <w:rPr>
          <w:color w:val="000000"/>
          <w:sz w:val="22"/>
          <w:szCs w:val="22"/>
        </w:rPr>
        <w:t xml:space="preserve">  The Calculation Agent is Party A.</w:t>
      </w:r>
    </w:p>
    <w:p>
      <w:pPr>
        <w:pStyle w:val="Normal"/>
        <w:spacing w:lineRule="exact" w:line="240" w:before="240" w:after="0"/>
        <w:ind w:firstLine="720" w:end="0"/>
        <w:jc w:val="both"/>
        <w:rPr/>
      </w:pPr>
      <w:r>
        <w:rPr>
          <w:color w:val="000000"/>
          <w:sz w:val="22"/>
          <w:szCs w:val="22"/>
        </w:rPr>
        <w:t>(d)</w:t>
        <w:tab/>
      </w:r>
      <w:r>
        <w:rPr>
          <w:b/>
          <w:bCs/>
          <w:color w:val="000000"/>
          <w:sz w:val="22"/>
          <w:szCs w:val="22"/>
        </w:rPr>
        <w:t>Credit Support Documents.</w:t>
      </w:r>
      <w:r>
        <w:rPr>
          <w:color w:val="000000"/>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color w:val="000000"/>
          <w:sz w:val="22"/>
          <w:szCs w:val="22"/>
          <w:u w:val="single"/>
        </w:rPr>
        <w:t>Exhibit A</w:t>
      </w:r>
      <w:r>
        <w:rPr>
          <w:color w:val="000000"/>
          <w:sz w:val="22"/>
          <w:szCs w:val="22"/>
        </w:rPr>
        <w:t xml:space="preserve">, and (ii) ISDA Credit Support Annex attached hereto as </w:t>
      </w:r>
      <w:r>
        <w:rPr>
          <w:color w:val="000000"/>
          <w:sz w:val="22"/>
          <w:szCs w:val="22"/>
          <w:u w:val="single"/>
        </w:rPr>
        <w:t>Annex A</w:t>
      </w:r>
      <w:r>
        <w:rPr>
          <w:color w:val="000000"/>
          <w:sz w:val="22"/>
          <w:szCs w:val="22"/>
        </w:rPr>
        <w:t>.</w:t>
      </w:r>
    </w:p>
    <w:p>
      <w:pPr>
        <w:pStyle w:val="Normal"/>
        <w:spacing w:lineRule="exact" w:line="240" w:before="240" w:after="0"/>
        <w:ind w:firstLine="720" w:end="0"/>
        <w:jc w:val="both"/>
        <w:rPr/>
      </w:pPr>
      <w:r>
        <w:rPr>
          <w:color w:val="000000"/>
          <w:sz w:val="22"/>
          <w:szCs w:val="22"/>
        </w:rPr>
        <w:t>(e)</w:t>
        <w:tab/>
      </w:r>
      <w:r>
        <w:rPr>
          <w:b/>
          <w:bCs/>
          <w:color w:val="000000"/>
          <w:sz w:val="22"/>
          <w:szCs w:val="22"/>
        </w:rPr>
        <w:t>Credit Support Provider.</w:t>
      </w:r>
      <w:r>
        <w:rPr>
          <w:color w:val="000000"/>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color w:val="000000"/>
          <w:sz w:val="22"/>
          <w:szCs w:val="22"/>
        </w:rPr>
      </w:pPr>
      <w:r>
        <w:rPr>
          <w:color w:val="000000"/>
          <w:sz w:val="22"/>
          <w:szCs w:val="22"/>
        </w:rPr>
        <w:t>(f)</w:t>
        <w:tab/>
      </w:r>
      <w:r>
        <w:rPr>
          <w:b/>
          <w:bCs/>
          <w:color w:val="000000"/>
          <w:sz w:val="22"/>
          <w:szCs w:val="22"/>
        </w:rPr>
        <w:t>Netting of Payments.</w:t>
      </w:r>
      <w:r>
        <w:rPr>
          <w:color w:val="000000"/>
          <w:sz w:val="22"/>
          <w:szCs w:val="22"/>
        </w:rPr>
        <w:t xml:space="preserve">  </w:t>
      </w:r>
      <w:r>
        <w:rPr>
          <w:sz w:val="22"/>
          <w:szCs w:val="22"/>
        </w:rPr>
        <w:t>Section 2(c)(ii) will apply to all Transactions.</w:t>
      </w:r>
    </w:p>
    <w:p>
      <w:pPr>
        <w:pStyle w:val="Normal"/>
        <w:spacing w:lineRule="exact" w:line="240" w:before="240" w:after="0"/>
        <w:ind w:firstLine="720" w:end="0"/>
        <w:jc w:val="both"/>
        <w:rPr/>
      </w:pPr>
      <w:r>
        <w:rPr>
          <w:color w:val="000000"/>
          <w:sz w:val="22"/>
          <w:szCs w:val="22"/>
        </w:rPr>
        <w:t>(g)</w:t>
        <w:tab/>
      </w:r>
      <w:r>
        <w:rPr>
          <w:b/>
          <w:bCs/>
          <w:color w:val="000000"/>
          <w:sz w:val="22"/>
          <w:szCs w:val="22"/>
        </w:rPr>
        <w:t>Governing Law.  This Agreement and each Confirmation will be governed by, and construed, interpreted, and enforced in accordance with, the substantive law of the Province of Alberta and the substantive federal laws of Canada (without reference to its choice of law doctrine).</w:t>
      </w:r>
    </w:p>
    <w:p>
      <w:pPr>
        <w:pStyle w:val="Normal"/>
        <w:spacing w:lineRule="exact" w:line="240" w:before="240" w:after="0"/>
        <w:ind w:firstLine="720" w:end="0"/>
        <w:jc w:val="both"/>
        <w:rPr/>
      </w:pPr>
      <w:r>
        <w:rPr>
          <w:color w:val="000000"/>
          <w:sz w:val="22"/>
          <w:szCs w:val="22"/>
        </w:rPr>
        <w:t>(h)</w:t>
        <w:tab/>
      </w:r>
      <w:r>
        <w:rPr>
          <w:b/>
          <w:bCs/>
          <w:color w:val="000000"/>
          <w:sz w:val="22"/>
          <w:szCs w:val="22"/>
        </w:rPr>
        <w:t>Jurisdiction.</w:t>
      </w:r>
      <w:r>
        <w:rPr>
          <w:color w:val="000000"/>
          <w:sz w:val="22"/>
          <w:szCs w:val="22"/>
        </w:rPr>
        <w:t xml:space="preserve">  Section 13(b) is hereby deleted in its entirety and replaced with the following:</w:t>
      </w:r>
    </w:p>
    <w:p>
      <w:pPr>
        <w:pStyle w:val="Normal"/>
        <w:spacing w:lineRule="exact" w:line="240" w:before="240" w:after="0"/>
        <w:ind w:firstLine="720" w:start="720" w:end="0"/>
        <w:jc w:val="both"/>
        <w:rPr/>
      </w:pPr>
      <w:r>
        <w:rPr>
          <w:color w:val="000000"/>
          <w:sz w:val="22"/>
          <w:szCs w:val="22"/>
        </w:rPr>
        <w:t>(b)</w:t>
        <w:tab/>
      </w:r>
      <w:r>
        <w:rPr>
          <w:b/>
          <w:bCs/>
          <w:color w:val="000000"/>
          <w:sz w:val="22"/>
          <w:szCs w:val="22"/>
        </w:rPr>
        <w:t>Jurisdiction.</w:t>
      </w:r>
      <w:r>
        <w:rPr>
          <w:color w:val="000000"/>
          <w:sz w:val="22"/>
          <w:szCs w:val="22"/>
        </w:rPr>
        <w:t xml:space="preserve">  With respect to any suit, action, claim or proceeding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p>
    <w:p>
      <w:pPr>
        <w:pStyle w:val="Normal"/>
        <w:tabs>
          <w:tab w:val="left" w:pos="720" w:leader="none"/>
        </w:tabs>
        <w:spacing w:lineRule="exact" w:line="240" w:before="240" w:after="0"/>
        <w:ind w:firstLine="720" w:start="720" w:end="0"/>
        <w:jc w:val="both"/>
        <w:rPr>
          <w:color w:val="000000"/>
          <w:sz w:val="22"/>
          <w:szCs w:val="22"/>
        </w:rPr>
      </w:pPr>
      <w:r>
        <w:rPr>
          <w:color w:val="000000"/>
          <w:sz w:val="22"/>
          <w:szCs w:val="22"/>
        </w:rPr>
        <w:t>Nothing in this Agreement precludes either party from bringing Proceedings in any jurisdiction, nor will the bringing of Proceedings in any one or more jurisdictions preclude the bringing of Proceedings in any other jurisdiction.</w:t>
      </w:r>
    </w:p>
    <w:p>
      <w:pPr>
        <w:pStyle w:val="Normal"/>
        <w:spacing w:lineRule="exact" w:line="240" w:before="480" w:after="0"/>
        <w:jc w:val="both"/>
        <w:rPr>
          <w:b/>
          <w:bCs/>
          <w:color w:val="000000"/>
          <w:sz w:val="22"/>
          <w:szCs w:val="22"/>
        </w:rPr>
      </w:pPr>
      <w:r>
        <w:rPr>
          <w:b/>
          <w:bCs/>
          <w:color w:val="000000"/>
          <w:sz w:val="22"/>
          <w:szCs w:val="22"/>
        </w:rPr>
        <w:t>Part 5.  Other Provisions.</w:t>
      </w:r>
    </w:p>
    <w:p>
      <w:pPr>
        <w:pStyle w:val="Normal"/>
        <w:spacing w:lineRule="exact" w:line="240" w:before="240" w:after="0"/>
        <w:ind w:firstLine="720" w:end="0"/>
        <w:jc w:val="both"/>
        <w:rPr/>
      </w:pPr>
      <w:r>
        <w:rPr>
          <w:color w:val="000000"/>
          <w:sz w:val="22"/>
          <w:szCs w:val="22"/>
        </w:rPr>
        <w:t>(a)</w:t>
        <w:tab/>
      </w:r>
      <w:r>
        <w:rPr>
          <w:b/>
          <w:bCs/>
          <w:color w:val="000000"/>
          <w:sz w:val="22"/>
          <w:szCs w:val="22"/>
        </w:rPr>
        <w:t>Conditions Precedent.</w:t>
      </w:r>
      <w:r>
        <w:rPr>
          <w:color w:val="000000"/>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color w:val="000000"/>
          <w:sz w:val="22"/>
          <w:szCs w:val="22"/>
        </w:rPr>
        <w:t>(b)</w:t>
        <w:tab/>
      </w:r>
      <w:r>
        <w:rPr>
          <w:b/>
          <w:bCs/>
          <w:color w:val="000000"/>
          <w:sz w:val="22"/>
          <w:szCs w:val="22"/>
        </w:rPr>
        <w:t>Representations.</w:t>
      </w:r>
      <w:r>
        <w:rPr>
          <w:color w:val="000000"/>
          <w:sz w:val="22"/>
          <w:szCs w:val="22"/>
        </w:rPr>
        <w:t xml:space="preserve">  Section 3 is hereby amended by adding at the end thereof the following Subsections (g), (h), (i), and (j):</w:t>
      </w:r>
    </w:p>
    <w:p>
      <w:pPr>
        <w:pStyle w:val="Normal"/>
        <w:spacing w:lineRule="exact" w:line="240" w:before="240" w:after="0"/>
        <w:ind w:firstLine="720" w:start="720" w:end="0"/>
        <w:jc w:val="both"/>
        <w:rPr/>
      </w:pPr>
      <w:r>
        <w:rPr>
          <w:color w:val="000000"/>
          <w:sz w:val="22"/>
          <w:szCs w:val="22"/>
        </w:rPr>
        <w:t>(g)</w:t>
        <w:tab/>
      </w:r>
      <w:r>
        <w:rPr>
          <w:b/>
          <w:bCs/>
          <w:color w:val="000000"/>
          <w:sz w:val="22"/>
          <w:szCs w:val="22"/>
        </w:rPr>
        <w:t>Line of Business.</w:t>
      </w:r>
      <w:r>
        <w:rPr>
          <w:color w:val="000000"/>
          <w:sz w:val="22"/>
          <w:szCs w:val="22"/>
        </w:rPr>
        <w:t xml:space="preserve">  It is entering into this Agreement, including without limitation, any Credit Support Document to which it is a party and each Transaction, in conjunction with its line of business (including financial intermediation services) or the financing of its business.</w:t>
      </w:r>
    </w:p>
    <w:p>
      <w:pPr>
        <w:pStyle w:val="Normal"/>
        <w:spacing w:lineRule="exact" w:line="240" w:before="240" w:after="0"/>
        <w:ind w:firstLine="720" w:start="720" w:end="0"/>
        <w:jc w:val="both"/>
        <w:rPr/>
      </w:pPr>
      <w:r>
        <w:rPr>
          <w:color w:val="000000"/>
          <w:sz w:val="22"/>
          <w:szCs w:val="22"/>
        </w:rPr>
        <w:t>(h)</w:t>
      </w:r>
      <w:r>
        <w:rPr>
          <w:b/>
          <w:bCs/>
          <w:color w:val="000000"/>
          <w:sz w:val="22"/>
          <w:szCs w:val="22"/>
        </w:rPr>
        <w:tab/>
        <w:t>Customization and Creditworthiness.</w:t>
      </w:r>
      <w:r>
        <w:rPr>
          <w:color w:val="000000"/>
          <w:sz w:val="22"/>
          <w:szCs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color w:val="000000"/>
          <w:sz w:val="22"/>
          <w:szCs w:val="22"/>
        </w:rPr>
        <w:t>(i)</w:t>
        <w:tab/>
      </w:r>
      <w:r>
        <w:rPr>
          <w:b/>
          <w:bCs/>
          <w:color w:val="000000"/>
          <w:sz w:val="22"/>
          <w:szCs w:val="22"/>
        </w:rPr>
        <w:t>No Reliance.</w:t>
      </w:r>
      <w:r>
        <w:rPr>
          <w:color w:val="000000"/>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start="720" w:end="0"/>
        <w:jc w:val="both"/>
        <w:rPr/>
      </w:pPr>
      <w:r>
        <w:rPr>
          <w:color w:val="000000"/>
          <w:sz w:val="22"/>
          <w:szCs w:val="22"/>
        </w:rPr>
        <w:t>(j)</w:t>
        <w:tab/>
      </w:r>
      <w:r>
        <w:rPr>
          <w:b/>
          <w:bCs/>
          <w:color w:val="000000"/>
          <w:sz w:val="22"/>
          <w:szCs w:val="22"/>
        </w:rPr>
        <w:t>Canadian Securities Acts.</w:t>
      </w:r>
      <w:r>
        <w:rPr>
          <w:color w:val="000000"/>
          <w:sz w:val="22"/>
          <w:szCs w:val="22"/>
        </w:rPr>
        <w:t xml:space="preserve">  (i) Each Transaction shall constitute an “OTC Derivative” as defined in the </w:t>
      </w:r>
      <w:r>
        <w:rPr>
          <w:i/>
          <w:iCs/>
          <w:color w:val="000000"/>
          <w:sz w:val="22"/>
          <w:szCs w:val="22"/>
        </w:rPr>
        <w:t>Securities Act</w:t>
      </w:r>
      <w:r>
        <w:rPr>
          <w:color w:val="000000"/>
          <w:sz w:val="22"/>
          <w:szCs w:val="22"/>
        </w:rPr>
        <w:t xml:space="preserve"> (Alberta) and the </w:t>
      </w:r>
      <w:r>
        <w:rPr>
          <w:i/>
          <w:iCs/>
          <w:color w:val="000000"/>
          <w:sz w:val="22"/>
          <w:szCs w:val="22"/>
        </w:rPr>
        <w:t>Securities Act</w:t>
      </w:r>
      <w:r>
        <w:rPr>
          <w:color w:val="000000"/>
          <w:sz w:val="22"/>
          <w:szCs w:val="22"/>
        </w:rPr>
        <w:t xml:space="preserve"> (British Columbia) which have application to such Transaction and (ii) it is a “Qualified Party” within the meaning of paragraph 9.1 of Alberta Securities Commission Order Doc#394043 and/or paragraph 1.1 of the British Columbia Securities Commission Blanket Order BOR#91-501(BC), as in effect on the date hereof.</w:t>
      </w:r>
    </w:p>
    <w:p>
      <w:pPr>
        <w:pStyle w:val="Normal"/>
        <w:spacing w:lineRule="exact" w:line="240" w:before="240" w:after="0"/>
        <w:ind w:firstLine="720" w:end="0"/>
        <w:jc w:val="both"/>
        <w:rPr/>
      </w:pPr>
      <w:r>
        <w:rPr>
          <w:color w:val="000000"/>
          <w:sz w:val="22"/>
          <w:szCs w:val="22"/>
        </w:rPr>
        <w:t>(c)</w:t>
        <w:tab/>
      </w:r>
      <w:r>
        <w:rPr>
          <w:b/>
          <w:bCs/>
          <w:color w:val="000000"/>
          <w:sz w:val="22"/>
          <w:szCs w:val="22"/>
        </w:rPr>
        <w:t>Reference Market-makers.</w:t>
      </w:r>
      <w:r>
        <w:rPr>
          <w:color w:val="000000"/>
          <w:sz w:val="22"/>
          <w:szCs w:val="22"/>
        </w:rPr>
        <w:t xml:space="preserve">  The definition of </w:t>
      </w:r>
      <w:r>
        <w:rPr>
          <w:b/>
          <w:bCs/>
          <w:color w:val="000000"/>
          <w:sz w:val="22"/>
          <w:szCs w:val="22"/>
        </w:rPr>
        <w:t>“Reference Market-makers”</w:t>
      </w:r>
      <w:r>
        <w:rPr>
          <w:color w:val="000000"/>
          <w:sz w:val="22"/>
          <w:szCs w:val="22"/>
        </w:rPr>
        <w:t xml:space="preserve"> in Section 14 is hereby amended by deleting clause (b) thereof.</w:t>
      </w:r>
    </w:p>
    <w:p>
      <w:pPr>
        <w:pStyle w:val="Normal"/>
        <w:spacing w:lineRule="exact" w:line="240" w:before="240" w:after="0"/>
        <w:ind w:firstLine="720" w:end="0"/>
        <w:jc w:val="both"/>
        <w:rPr/>
      </w:pPr>
      <w:r>
        <w:rPr>
          <w:color w:val="000000"/>
          <w:sz w:val="22"/>
          <w:szCs w:val="22"/>
        </w:rPr>
        <w:t>(d)</w:t>
        <w:tab/>
      </w:r>
      <w:r>
        <w:rPr>
          <w:b/>
          <w:bCs/>
          <w:color w:val="000000"/>
          <w:sz w:val="22"/>
          <w:szCs w:val="22"/>
        </w:rPr>
        <w:t>Definitions.</w:t>
      </w:r>
      <w:r>
        <w:rPr>
          <w:color w:val="000000"/>
          <w:sz w:val="22"/>
          <w:szCs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ind w:firstLine="720" w:end="0"/>
        <w:jc w:val="both"/>
        <w:rPr>
          <w:color w:val="000000"/>
          <w:sz w:val="22"/>
          <w:szCs w:val="22"/>
        </w:rPr>
      </w:pPr>
      <w:r>
        <w:rPr>
          <w:color w:val="000000"/>
          <w:sz w:val="22"/>
          <w:szCs w:val="22"/>
        </w:rPr>
      </w:r>
    </w:p>
    <w:p>
      <w:pPr>
        <w:pStyle w:val="Normal"/>
        <w:ind w:firstLine="720" w:end="0"/>
        <w:jc w:val="both"/>
        <w:rPr/>
      </w:pPr>
      <w:r>
        <w:rPr>
          <w:sz w:val="22"/>
          <w:szCs w:val="22"/>
        </w:rPr>
        <w:t>(e)</w:t>
        <w:tab/>
      </w:r>
      <w:r>
        <w:rPr>
          <w:b/>
          <w:sz w:val="22"/>
        </w:rPr>
        <w:t>Execution</w:t>
      </w:r>
      <w:r>
        <w:rPr>
          <w:b/>
          <w:bCs/>
          <w:sz w:val="22"/>
        </w:rPr>
        <w:t>.</w:t>
      </w:r>
      <w:r>
        <w:rPr>
          <w:sz w:val="22"/>
        </w:rPr>
        <w:t xml:space="preserve">  Section 9(e)(ii) of this Agreement is deleted and replaced in its entirety with the following provision:</w:t>
      </w:r>
    </w:p>
    <w:p>
      <w:pPr>
        <w:pStyle w:val="Normal"/>
        <w:spacing w:lineRule="exact" w:line="240" w:before="240" w:after="0"/>
        <w:ind w:firstLine="90" w:start="630" w:end="0"/>
        <w:jc w:val="both"/>
        <w:rPr>
          <w:sz w:val="22"/>
          <w:szCs w:val="22"/>
        </w:rPr>
      </w:pPr>
      <w:r>
        <w:rPr>
          <w:sz w:val="22"/>
        </w:rPr>
        <w:t>“</w:t>
      </w:r>
      <w:r>
        <w:rPr>
          <w:sz w:val="22"/>
        </w:rPr>
        <w:t xml:space="preserve">(ii) </w:t>
      </w:r>
      <w:r>
        <w:rPr>
          <w:sz w:val="22"/>
          <w:u w:val="single"/>
        </w:rPr>
        <w:t>Execution of Transactions</w:t>
      </w:r>
      <w:r>
        <w:rPr>
          <w:sz w:val="22"/>
        </w:rPr>
        <w:t>.  For the purposes of this Agreement, the parties intend that they are legally bound by the terms of each Transaction from the moment they agree to those terms (whether orally or otherwise) with respect to each Transaction.  A Confirmation shall be entered into by the parties and may be executed and delivered in counterparts including by facsimile transmission which will be sufficient for all purposes to evidence a binding supplement to this Agreement. Unless a Transaction has been or will be confirmed by way of an electronic messaging system: (a) Party A will, on or promptly after entering into each Transaction, send to Party B by facsimile transmission a Confirmation in the form utilized by Party A; (b) Party B will promptly thereafter confirm by facsimile the accuracy of or request the correction of such Confirmation; and (c) upon such confirmation by Party B, such facsimile transmissions shall be deemed to constitute a legally binding supplement to this Agreement upon the particular terms stated therein."</w:t>
      </w:r>
    </w:p>
    <w:p>
      <w:pPr>
        <w:pStyle w:val="Normal"/>
        <w:spacing w:lineRule="exact" w:line="240" w:before="240" w:after="0"/>
        <w:ind w:firstLine="720" w:end="0"/>
        <w:jc w:val="both"/>
        <w:rPr/>
      </w:pPr>
      <w:r>
        <w:rPr>
          <w:color w:val="000000"/>
          <w:sz w:val="22"/>
          <w:szCs w:val="22"/>
        </w:rPr>
        <w:t>(f)</w:t>
      </w:r>
      <w:r>
        <w:rPr>
          <w:b/>
          <w:bCs/>
          <w:color w:val="000000"/>
          <w:sz w:val="22"/>
          <w:szCs w:val="22"/>
        </w:rPr>
        <w:tab/>
        <w:t>Recording.</w:t>
      </w:r>
      <w:r>
        <w:rPr>
          <w:color w:val="000000"/>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color w:val="000000"/>
          <w:sz w:val="22"/>
          <w:szCs w:val="22"/>
        </w:rPr>
        <w:t>(g)</w:t>
        <w:tab/>
      </w:r>
      <w:r>
        <w:rPr>
          <w:b/>
          <w:bCs/>
          <w:color w:val="000000"/>
          <w:sz w:val="22"/>
          <w:szCs w:val="22"/>
        </w:rPr>
        <w:t>Setoff.</w:t>
      </w:r>
      <w:r>
        <w:rPr>
          <w:color w:val="000000"/>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color w:val="000000"/>
          <w:sz w:val="22"/>
          <w:szCs w:val="22"/>
        </w:rPr>
      </w:pPr>
      <w:r>
        <w:rPr>
          <w:color w:val="000000"/>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b/>
          <w:bCs/>
          <w:color w:val="000000"/>
          <w:sz w:val="22"/>
          <w:szCs w:val="22"/>
        </w:rPr>
      </w:pPr>
      <w:r>
        <w:rPr>
          <w:b/>
          <w:bCs/>
          <w:color w:val="000000"/>
          <w:sz w:val="22"/>
          <w:szCs w:val="22"/>
        </w:rPr>
        <w:t>(h)</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firstLine="720" w:end="0"/>
        <w:jc w:val="both"/>
        <w:rPr/>
      </w:pPr>
      <w:r>
        <w:rPr>
          <w:color w:val="000000"/>
          <w:sz w:val="22"/>
          <w:szCs w:val="22"/>
        </w:rPr>
        <w:t>(i)</w:t>
        <w:tab/>
      </w:r>
      <w:r>
        <w:rPr>
          <w:b/>
          <w:bCs/>
          <w:color w:val="000000"/>
          <w:sz w:val="22"/>
          <w:szCs w:val="22"/>
        </w:rPr>
        <w:t>Confidentiality.</w:t>
      </w:r>
      <w:r>
        <w:rPr>
          <w:color w:val="000000"/>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color w:val="000000"/>
          <w:sz w:val="22"/>
          <w:szCs w:val="22"/>
        </w:rPr>
      </w:pPr>
      <w:r>
        <w:rPr>
          <w:color w:val="000000"/>
          <w:sz w:val="22"/>
          <w:szCs w:val="22"/>
        </w:rPr>
      </w:r>
    </w:p>
    <w:p>
      <w:pPr>
        <w:pStyle w:val="Normal"/>
        <w:spacing w:lineRule="exact" w:line="240"/>
        <w:ind w:firstLine="630" w:end="0"/>
        <w:jc w:val="both"/>
        <w:rPr/>
      </w:pPr>
      <w:r>
        <w:rPr>
          <w:color w:val="000000"/>
          <w:sz w:val="22"/>
          <w:szCs w:val="22"/>
        </w:rPr>
        <w:t>(j)</w:t>
        <w:tab/>
      </w:r>
      <w:r>
        <w:rPr>
          <w:b/>
          <w:bCs/>
          <w:color w:val="000000"/>
          <w:sz w:val="22"/>
          <w:szCs w:val="22"/>
        </w:rPr>
        <w:t>Transfer.</w:t>
      </w:r>
      <w:r>
        <w:rPr>
          <w:color w:val="000000"/>
          <w:sz w:val="22"/>
          <w:szCs w:val="22"/>
        </w:rPr>
        <w:t xml:space="preserve">  Section 7 is hereby amended by adding the following Subsection (c):</w:t>
      </w:r>
    </w:p>
    <w:p>
      <w:pPr>
        <w:pStyle w:val="Normal"/>
        <w:spacing w:lineRule="exact" w:line="240"/>
        <w:ind w:firstLine="630" w:end="0"/>
        <w:jc w:val="both"/>
        <w:rPr>
          <w:color w:val="000000"/>
          <w:sz w:val="22"/>
          <w:szCs w:val="22"/>
        </w:rPr>
      </w:pPr>
      <w:r>
        <w:rPr>
          <w:color w:val="000000"/>
          <w:sz w:val="22"/>
          <w:szCs w:val="22"/>
        </w:rPr>
      </w:r>
    </w:p>
    <w:p>
      <w:pPr>
        <w:pStyle w:val="Normal"/>
        <w:spacing w:lineRule="exact" w:line="240"/>
        <w:ind w:firstLine="720" w:start="720" w:end="0"/>
        <w:jc w:val="both"/>
        <w:rPr>
          <w:sz w:val="22"/>
          <w:szCs w:val="22"/>
        </w:rPr>
      </w:pPr>
      <w:r>
        <w:rPr>
          <w:color w:val="000000"/>
          <w:sz w:val="22"/>
          <w:szCs w:val="22"/>
        </w:rPr>
        <w:t>“</w:t>
      </w:r>
      <w:r>
        <w:rPr>
          <w:color w:val="000000"/>
          <w:sz w:val="22"/>
          <w:szCs w:val="22"/>
        </w:rPr>
        <w:t xml:space="preserve">(c)  Party A may transfer its rights and obligations under this Agreement, in whole but not in part, to any Affiliate incorporated in the United States or Canada so long as the obligations of such Affiliate are guaranteed by Enron Corp. pursuant to a guaranty substantially similar to the one provided on behalf of Party A hereunder, provided that such transfer will not give rise to a Termination Event or an Event of Default, and further provided that Party B </w:t>
      </w:r>
      <w:r>
        <w:rPr>
          <w:sz w:val="22"/>
        </w:rPr>
        <w:t>will not be required to gross up its payments to the proposed transferee or receive payments from the proposed transferee net of withholding or deduction that would not otherwise be required hereunder or under applicable law in the absence of the proposed transfer.”</w:t>
      </w:r>
    </w:p>
    <w:p>
      <w:pPr>
        <w:pStyle w:val="Normal"/>
        <w:spacing w:lineRule="exact" w:line="240" w:before="240" w:after="0"/>
        <w:ind w:firstLine="720" w:end="0"/>
        <w:jc w:val="both"/>
        <w:rPr/>
      </w:pPr>
      <w:r>
        <w:rPr>
          <w:color w:val="000000"/>
          <w:sz w:val="22"/>
          <w:szCs w:val="22"/>
        </w:rPr>
        <w:t>(k)</w:t>
        <w:tab/>
      </w:r>
      <w:r>
        <w:rPr>
          <w:b/>
          <w:bCs/>
          <w:color w:val="000000"/>
          <w:sz w:val="22"/>
          <w:szCs w:val="22"/>
        </w:rPr>
        <w:t>Applicable Rate.</w:t>
      </w:r>
      <w:r>
        <w:rPr>
          <w:color w:val="000000"/>
          <w:sz w:val="22"/>
          <w:szCs w:val="22"/>
        </w:rPr>
        <w:t xml:space="preserve">  The definition of </w:t>
      </w:r>
      <w:r>
        <w:rPr>
          <w:b/>
          <w:bCs/>
          <w:color w:val="000000"/>
          <w:sz w:val="22"/>
          <w:szCs w:val="22"/>
        </w:rPr>
        <w:t>“Applicable Rate”</w:t>
      </w:r>
      <w:r>
        <w:rPr>
          <w:color w:val="000000"/>
          <w:sz w:val="22"/>
          <w:szCs w:val="22"/>
        </w:rPr>
        <w:t xml:space="preserve"> set forth in Section 14 is hereby amended by adding to the end of Subsection (b) of the definition after the word “Rate” the following provision:  “;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color w:val="000000"/>
          <w:sz w:val="22"/>
          <w:szCs w:val="22"/>
        </w:rPr>
        <w:t>(l)</w:t>
        <w:tab/>
      </w:r>
      <w:r>
        <w:rPr>
          <w:b/>
          <w:bCs/>
          <w:color w:val="000000"/>
          <w:sz w:val="22"/>
          <w:szCs w:val="22"/>
        </w:rPr>
        <w:t>Severability.</w:t>
      </w:r>
      <w:r>
        <w:rPr>
          <w:color w:val="000000"/>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color w:val="000000"/>
          <w:sz w:val="22"/>
          <w:szCs w:val="22"/>
        </w:rPr>
      </w:pPr>
      <w:r>
        <w:rPr>
          <w:color w:val="000000"/>
          <w:sz w:val="22"/>
          <w:szCs w:val="22"/>
        </w:rPr>
      </w:r>
    </w:p>
    <w:p>
      <w:pPr>
        <w:pStyle w:val="Normal"/>
        <w:spacing w:lineRule="exact" w:line="240"/>
        <w:ind w:firstLine="720" w:end="0"/>
        <w:jc w:val="both"/>
        <w:rPr/>
      </w:pPr>
      <w:r>
        <w:rPr>
          <w:color w:val="000000"/>
          <w:sz w:val="22"/>
          <w:szCs w:val="22"/>
        </w:rPr>
        <w:t>(m)</w:t>
        <w:tab/>
      </w:r>
      <w:r>
        <w:rPr>
          <w:b/>
          <w:bCs/>
          <w:color w:val="000000"/>
          <w:sz w:val="22"/>
          <w:szCs w:val="22"/>
        </w:rPr>
        <w:t>Maximum Rate; Disclosure, etc.</w:t>
      </w:r>
      <w:r>
        <w:rPr>
          <w:color w:val="000000"/>
          <w:sz w:val="22"/>
          <w:szCs w:val="22"/>
        </w:rPr>
        <w:t xml:space="preserve">  Notwithstanding any provision to the contrary contained in this Agreement, the Default Rate, Non-default Rate, Termination Rate and any other rate of interest payable under this Agreement shall not exceed the maximum interest rate, if any, that at any time or from time to time may be contracted for, taken, reserved, charged, or received under applicable law.  Any applicable interest rate expressed as an annual rate of interest shall, for the purposes of compliance with applicable law, be equivalent to such interest rate multiplied by the actual number of days in the calendar year in which the same is to be determined and divided by 365/366, as the case may be.</w:t>
      </w:r>
    </w:p>
    <w:p>
      <w:pPr>
        <w:pStyle w:val="Normal"/>
        <w:spacing w:lineRule="exact" w:line="240" w:before="240" w:after="0"/>
        <w:ind w:firstLine="720" w:end="0"/>
        <w:jc w:val="both"/>
        <w:rPr/>
      </w:pPr>
      <w:r>
        <w:rPr>
          <w:color w:val="000000"/>
          <w:sz w:val="22"/>
          <w:szCs w:val="22"/>
        </w:rPr>
        <w:t>(n)</w:t>
        <w:tab/>
      </w:r>
      <w:r>
        <w:rPr>
          <w:b/>
          <w:bCs/>
          <w:color w:val="000000"/>
          <w:sz w:val="22"/>
          <w:szCs w:val="22"/>
        </w:rPr>
        <w:t>Existing Transactions.</w:t>
      </w:r>
      <w:r>
        <w:rPr>
          <w:color w:val="000000"/>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w:t>
      </w:r>
    </w:p>
    <w:p>
      <w:pPr>
        <w:pStyle w:val="Normal"/>
        <w:jc w:val="both"/>
        <w:rPr>
          <w:b/>
          <w:color w:val="000000"/>
          <w:sz w:val="22"/>
          <w:szCs w:val="22"/>
        </w:rPr>
      </w:pPr>
      <w:r>
        <w:rPr>
          <w:b/>
          <w:color w:val="000000"/>
          <w:sz w:val="22"/>
          <w:szCs w:val="22"/>
        </w:rPr>
      </w:r>
    </w:p>
    <w:p>
      <w:pPr>
        <w:pStyle w:val="Normal"/>
        <w:ind w:firstLine="720" w:end="0"/>
        <w:jc w:val="both"/>
        <w:rPr/>
      </w:pPr>
      <w:r>
        <w:rPr>
          <w:bCs/>
          <w:sz w:val="22"/>
        </w:rPr>
        <w:t>(o)</w:t>
        <w:tab/>
      </w:r>
      <w:r>
        <w:rPr>
          <w:b/>
          <w:sz w:val="22"/>
        </w:rPr>
        <w:t>Obligations Binding</w:t>
      </w:r>
      <w:r>
        <w:rPr>
          <w:b/>
          <w:bCs/>
          <w:sz w:val="22"/>
        </w:rPr>
        <w:t>.</w:t>
      </w:r>
      <w:r>
        <w:rPr>
          <w:sz w:val="22"/>
        </w:rPr>
        <w:t xml:space="preserve">  For purposes of Section 3(a)(v) the representation as to enforceability of such obligation shall also be subject to the fact that judgments awarded by Canadian courts may only be in Canadian dollars and that such judgments may be awarded based on a rate of exchange in existence on a day other than the day of payment.</w:t>
      </w:r>
    </w:p>
    <w:p>
      <w:pPr>
        <w:pStyle w:val="Normal"/>
        <w:jc w:val="both"/>
        <w:rPr>
          <w:b/>
          <w:sz w:val="22"/>
        </w:rPr>
      </w:pPr>
      <w:r>
        <w:rPr>
          <w:b/>
          <w:sz w:val="22"/>
        </w:rPr>
      </w:r>
    </w:p>
    <w:p>
      <w:pPr>
        <w:pStyle w:val="Normal"/>
        <w:ind w:firstLine="720" w:end="0"/>
        <w:jc w:val="both"/>
        <w:rPr/>
      </w:pPr>
      <w:r>
        <w:rPr>
          <w:bCs/>
          <w:sz w:val="22"/>
        </w:rPr>
        <w:t>(p)</w:t>
        <w:tab/>
      </w:r>
      <w:r>
        <w:rPr>
          <w:b/>
          <w:sz w:val="22"/>
        </w:rPr>
        <w:t>Illegality</w:t>
      </w:r>
      <w:r>
        <w:rPr>
          <w:b/>
          <w:bCs/>
          <w:sz w:val="22"/>
        </w:rPr>
        <w:t>.</w:t>
      </w:r>
      <w:r>
        <w:rPr>
          <w:sz w:val="22"/>
        </w:rPr>
        <w:t xml:space="preserve">  For purposes of Section 5(b)(i), the obligation of Party A to comply with any official directive issued or given by any government agency or authority with competent jurisdiction which has the result referred to in Section 5(b)(i) will be deemed to be an "Illegality".</w:t>
      </w:r>
    </w:p>
    <w:p>
      <w:pPr>
        <w:pStyle w:val="Normal"/>
        <w:jc w:val="both"/>
        <w:rPr>
          <w:b/>
          <w:sz w:val="22"/>
        </w:rPr>
      </w:pPr>
      <w:r>
        <w:rPr>
          <w:b/>
          <w:sz w:val="22"/>
        </w:rPr>
      </w:r>
    </w:p>
    <w:p>
      <w:pPr>
        <w:pStyle w:val="Normal"/>
        <w:ind w:firstLine="720" w:end="0"/>
        <w:jc w:val="both"/>
        <w:rPr/>
      </w:pPr>
      <w:r>
        <w:rPr>
          <w:bCs/>
          <w:sz w:val="22"/>
        </w:rPr>
        <w:t>(q)</w:t>
        <w:tab/>
      </w:r>
      <w:r>
        <w:rPr>
          <w:b/>
          <w:sz w:val="22"/>
        </w:rPr>
        <w:t>Service of Process.</w:t>
      </w:r>
      <w:r>
        <w:rPr>
          <w:sz w:val="22"/>
        </w:rPr>
        <w:t xml:space="preserve">  With respect to the provisions of Section 13(c) of the Agreement, the reference therein to Section 12 to the contrary notwithstanding, no consent is given by either party to service of process by telex, facsimile transmission or electronic messaging system.</w:t>
      </w:r>
    </w:p>
    <w:p>
      <w:pPr>
        <w:pStyle w:val="Normal"/>
        <w:jc w:val="both"/>
        <w:rPr>
          <w:b/>
          <w:sz w:val="22"/>
        </w:rPr>
      </w:pPr>
      <w:r>
        <w:rPr>
          <w:b/>
          <w:sz w:val="22"/>
        </w:rPr>
      </w:r>
    </w:p>
    <w:p>
      <w:pPr>
        <w:pStyle w:val="Normal"/>
        <w:ind w:firstLine="720" w:end="0"/>
        <w:jc w:val="both"/>
        <w:rPr/>
      </w:pPr>
      <w:r>
        <w:rPr>
          <w:bCs/>
          <w:sz w:val="22"/>
        </w:rPr>
        <w:t>(r)</w:t>
        <w:tab/>
      </w:r>
      <w:r>
        <w:rPr>
          <w:b/>
          <w:sz w:val="22"/>
        </w:rPr>
        <w:t>Electronic Confirmations</w:t>
      </w:r>
      <w:r>
        <w:rPr>
          <w:b/>
          <w:bCs/>
          <w:sz w:val="22"/>
        </w:rPr>
        <w:t>.</w:t>
      </w:r>
      <w:r>
        <w:rPr>
          <w:sz w:val="22"/>
        </w:rPr>
        <w:t xml:space="preserve">  Transactions may be confirmed in accordance with this subpart, notwithstanding anything to the contrary herein. Where a Transaction is confirmed by means of an electronic messaging system (including without limitation, circumstances where such electronic message is printed and faxed or otherwise delivered by one party to the other party) that the parties have elected to use to confirm such Transaction,</w:t>
      </w:r>
    </w:p>
    <w:p>
      <w:pPr>
        <w:pStyle w:val="Normal"/>
        <w:ind w:firstLine="720" w:end="0"/>
        <w:jc w:val="both"/>
        <w:rPr>
          <w:sz w:val="22"/>
        </w:rPr>
      </w:pPr>
      <w:r>
        <w:rPr>
          <w:sz w:val="22"/>
        </w:rPr>
      </w:r>
    </w:p>
    <w:p>
      <w:pPr>
        <w:pStyle w:val="Normal"/>
        <w:numPr>
          <w:ilvl w:val="0"/>
          <w:numId w:val="2"/>
        </w:numPr>
        <w:jc w:val="both"/>
        <w:rPr>
          <w:sz w:val="22"/>
        </w:rPr>
      </w:pPr>
      <w:r>
        <w:rPr>
          <w:sz w:val="22"/>
        </w:rPr>
        <w:t>such confirmation will constitute a 'Confirmation' as referred to in this Agreement even where not so specified in the Confirmation, and</w:t>
      </w:r>
    </w:p>
    <w:p>
      <w:pPr>
        <w:pStyle w:val="Normal"/>
        <w:jc w:val="both"/>
        <w:rPr>
          <w:sz w:val="22"/>
        </w:rPr>
      </w:pPr>
      <w:r>
        <w:rPr>
          <w:sz w:val="22"/>
        </w:rPr>
      </w:r>
    </w:p>
    <w:p>
      <w:pPr>
        <w:pStyle w:val="Normal"/>
        <w:ind w:hanging="720" w:start="1440" w:end="0"/>
        <w:jc w:val="both"/>
        <w:rPr>
          <w:sz w:val="22"/>
        </w:rPr>
      </w:pPr>
      <w:r>
        <w:rPr>
          <w:sz w:val="22"/>
        </w:rPr>
        <w:t>(ii)</w:t>
        <w:tab/>
        <w:t>such Confirmation will supplement, form part of, and be subject to this Agreement and all provisions in this Agreement will govern the Confirmation except as modified therein.</w:t>
      </w:r>
    </w:p>
    <w:p>
      <w:pPr>
        <w:pStyle w:val="Normal"/>
        <w:jc w:val="both"/>
        <w:rPr>
          <w:b/>
          <w:sz w:val="22"/>
        </w:rPr>
      </w:pPr>
      <w:r>
        <w:rPr>
          <w:b/>
          <w:sz w:val="22"/>
        </w:rPr>
      </w:r>
    </w:p>
    <w:p>
      <w:pPr>
        <w:pStyle w:val="Normal"/>
        <w:ind w:firstLine="720" w:end="0"/>
        <w:jc w:val="both"/>
        <w:rPr>
          <w:sz w:val="22"/>
        </w:rPr>
      </w:pPr>
      <w:r>
        <w:rPr>
          <w:bCs/>
          <w:sz w:val="22"/>
        </w:rPr>
        <w:t>(s)</w:t>
        <w:tab/>
      </w:r>
      <w:r>
        <w:rPr>
          <w:b/>
          <w:sz w:val="22"/>
        </w:rPr>
        <w:t>Electronic Signatures</w:t>
      </w:r>
      <w:r>
        <w:rPr>
          <w:b/>
          <w:bCs/>
          <w:sz w:val="22"/>
        </w:rPr>
        <w:t>.</w:t>
      </w:r>
      <w:r>
        <w:rPr>
          <w:sz w:val="22"/>
        </w:rPr>
        <w:t xml:space="preserve">  Party A confirms, and Party B acknowledges, that Party A uses a computer-based system to execute certain Confirmations and that each such Confirmation executed by Party A by means of an electronically-produced signature shall have the same legal effect as if such signature had been manually written on such Confirmation and that each such Confirmation shall be deemed to have been signed for the purposes of any statute or rule of law that requires such Confirmation to be signed.  The parties acknowledge that in any legal proceedings between them respecting or in any way relating to this Agreement, each party expressly waives any right to raise any defense or waiver of liability based upon the execution of a Confirmation by Party A by means of an electronically-produced signature.  This provision shall apply to all Confirmations outstanding as of the date hereof and executed by Party A by means of an electronically-produced signature, and to all Confirmations in respect of Transactions entered into between Party A and Party B after the date hereof.</w:t>
      </w:r>
    </w:p>
    <w:p>
      <w:pPr>
        <w:pStyle w:val="Normal"/>
        <w:spacing w:before="480" w:after="0"/>
        <w:jc w:val="both"/>
        <w:rPr>
          <w:b/>
          <w:bCs/>
          <w:color w:val="000000"/>
          <w:sz w:val="22"/>
          <w:szCs w:val="22"/>
        </w:rPr>
      </w:pPr>
      <w:r>
        <w:rPr>
          <w:b/>
          <w:bCs/>
          <w:color w:val="000000"/>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color w:val="000000"/>
          <w:sz w:val="22"/>
          <w:szCs w:val="22"/>
        </w:rPr>
      </w:pPr>
      <w:r>
        <w:rPr>
          <w:rFonts w:cs="Times New Roman" w:ascii="Times New Roman" w:hAnsi="Times New Roman"/>
          <w:b/>
          <w:bCs/>
          <w:color w:val="000000"/>
          <w:sz w:val="22"/>
          <w:szCs w:val="22"/>
        </w:rPr>
      </w:r>
    </w:p>
    <w:p>
      <w:pPr>
        <w:pStyle w:val="Normal"/>
        <w:ind w:firstLine="720" w:end="0"/>
        <w:jc w:val="both"/>
        <w:rPr>
          <w:color w:val="000000"/>
          <w:sz w:val="22"/>
          <w:szCs w:val="22"/>
        </w:rPr>
      </w:pPr>
      <w:r>
        <w:rPr>
          <w:color w:val="000000"/>
          <w:sz w:val="22"/>
          <w:szCs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(c)</w:t>
        <w:tab/>
        <w:t>Section 7.4(c)(viii) of the Commodity Definitions is hereby amended by the addition of the following at the end thereof:</w:t>
      </w:r>
    </w:p>
    <w:p>
      <w:pPr>
        <w:pStyle w:val="Normal"/>
        <w:ind w:firstLine="720" w:end="0"/>
        <w:jc w:val="both"/>
        <w:rPr>
          <w:color w:val="000000"/>
          <w:sz w:val="22"/>
          <w:szCs w:val="22"/>
        </w:rPr>
      </w:pPr>
      <w:r>
        <w:rPr>
          <w:color w:val="000000"/>
          <w:sz w:val="22"/>
          <w:szCs w:val="22"/>
        </w:rPr>
      </w:r>
    </w:p>
    <w:p>
      <w:pPr>
        <w:pStyle w:val="Normal"/>
        <w:ind w:firstLine="720" w:start="720" w:end="0"/>
        <w:jc w:val="both"/>
        <w:rPr>
          <w:color w:val="000000"/>
          <w:sz w:val="22"/>
          <w:szCs w:val="22"/>
        </w:rPr>
      </w:pPr>
      <w:r>
        <w:rPr>
          <w:color w:val="000000"/>
          <w:sz w:val="22"/>
          <w:szCs w:val="22"/>
        </w:rPr>
        <w:t>“</w:t>
      </w:r>
      <w:r>
        <w:rPr>
          <w:color w:val="000000"/>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(d)</w:t>
        <w:tab/>
        <w:t>Section 7.5(e) of the Commodity Definitions is hereby deleted.</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(e)</w:t>
        <w:tab/>
        <w:t>“Additional Market Disruption Events” shall apply only if so specified in the relevant Confirmation.</w:t>
      </w:r>
    </w:p>
    <w:p>
      <w:pPr>
        <w:pStyle w:val="Normal"/>
        <w:ind w:firstLine="720" w:end="0"/>
        <w:jc w:val="both"/>
        <w:rPr>
          <w:color w:val="000000"/>
          <w:sz w:val="22"/>
          <w:szCs w:val="22"/>
        </w:rPr>
      </w:pPr>
      <w:r>
        <w:rPr>
          <w:color w:val="000000"/>
          <w:sz w:val="22"/>
          <w:szCs w:val="22"/>
        </w:rPr>
      </w:r>
    </w:p>
    <w:p>
      <w:pPr>
        <w:pStyle w:val="BodyTextIndent2"/>
        <w:widowControl/>
        <w:tabs>
          <w:tab w:val="clear" w:pos="1350"/>
        </w:tabs>
        <w:rPr>
          <w:rFonts w:ascii="Times New Roman" w:hAnsi="Times New Roman" w:cs="Times New Roman"/>
          <w:color w:val="000000"/>
        </w:rPr>
      </w:pPr>
      <w:r>
        <w:rPr>
          <w:rFonts w:cs="Times New Roman" w:ascii="Times New Roman" w:hAnsi="Times New Roman"/>
          <w:color w:val="000000"/>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color w:val="000000"/>
          <w:sz w:val="22"/>
          <w:szCs w:val="22"/>
        </w:rPr>
      </w:pPr>
      <w:r>
        <w:rPr>
          <w:rFonts w:cs="Times New Roman"/>
          <w:color w:val="000000"/>
          <w:sz w:val="22"/>
          <w:szCs w:val="22"/>
        </w:rPr>
      </w:r>
    </w:p>
    <w:p>
      <w:pPr>
        <w:pStyle w:val="BlockText"/>
        <w:ind w:hanging="720" w:start="1440" w:end="720"/>
        <w:rPr>
          <w:color w:val="000000"/>
        </w:rPr>
      </w:pPr>
      <w:r>
        <w:rPr>
          <w:color w:val="000000"/>
        </w:rPr>
        <w:t>(i)</w:t>
        <w:tab/>
        <w:t>“Postponement”, with three (3) Commodity Business Days as the Maximum Days of Disruption;</w:t>
      </w:r>
    </w:p>
    <w:p>
      <w:pPr>
        <w:pStyle w:val="Normal"/>
        <w:ind w:hanging="720" w:start="1440" w:end="720"/>
        <w:jc w:val="both"/>
        <w:rPr>
          <w:color w:val="000000"/>
          <w:sz w:val="22"/>
          <w:szCs w:val="22"/>
        </w:rPr>
      </w:pPr>
      <w:r>
        <w:rPr>
          <w:color w:val="000000"/>
          <w:sz w:val="22"/>
          <w:szCs w:val="22"/>
        </w:rPr>
      </w:r>
    </w:p>
    <w:p>
      <w:pPr>
        <w:pStyle w:val="BlockText"/>
        <w:ind w:hanging="720" w:start="1440" w:end="720"/>
        <w:rPr>
          <w:color w:val="000000"/>
        </w:rPr>
      </w:pPr>
      <w:r>
        <w:rPr>
          <w:color w:val="000000"/>
        </w:rPr>
        <w:t>(ii)</w:t>
        <w:tab/>
        <w:t>“Fallback Reference Price” (if the relevant parties have specified an alternate Commodity Reference Price in the Confirmation);</w:t>
      </w:r>
    </w:p>
    <w:p>
      <w:pPr>
        <w:pStyle w:val="Normal"/>
        <w:ind w:hanging="720" w:start="1440" w:end="720"/>
        <w:jc w:val="both"/>
        <w:rPr>
          <w:color w:val="000000"/>
          <w:sz w:val="22"/>
          <w:szCs w:val="22"/>
        </w:rPr>
      </w:pPr>
      <w:r>
        <w:rPr>
          <w:color w:val="000000"/>
          <w:sz w:val="22"/>
          <w:szCs w:val="22"/>
        </w:rPr>
      </w:r>
    </w:p>
    <w:p>
      <w:pPr>
        <w:pStyle w:val="BlockText"/>
        <w:ind w:hanging="720" w:start="1440" w:end="720"/>
        <w:rPr>
          <w:color w:val="000000"/>
        </w:rPr>
      </w:pPr>
      <w:r>
        <w:rPr>
          <w:color w:val="000000"/>
        </w:rPr>
        <w:t>(iii)</w:t>
        <w:tab/>
        <w:t>“Negotiated Fallback” (provided that the reference in Section 7.5(c)(ii) to “fifth Business Day” shall be amended to be “twelfth Business Day”); and</w:t>
      </w:r>
    </w:p>
    <w:p>
      <w:pPr>
        <w:pStyle w:val="Normal"/>
        <w:ind w:hanging="720" w:start="1440" w:end="720"/>
        <w:jc w:val="both"/>
        <w:rPr>
          <w:color w:val="000000"/>
          <w:sz w:val="22"/>
          <w:szCs w:val="22"/>
        </w:rPr>
      </w:pPr>
      <w:r>
        <w:rPr>
          <w:color w:val="000000"/>
          <w:sz w:val="22"/>
          <w:szCs w:val="22"/>
        </w:rPr>
      </w:r>
    </w:p>
    <w:p>
      <w:pPr>
        <w:pStyle w:val="Normal"/>
        <w:ind w:hanging="720" w:start="1440" w:end="0"/>
        <w:jc w:val="both"/>
        <w:rPr>
          <w:color w:val="000000"/>
          <w:sz w:val="22"/>
          <w:szCs w:val="22"/>
        </w:rPr>
      </w:pPr>
      <w:r>
        <w:rPr>
          <w:color w:val="000000"/>
          <w:sz w:val="22"/>
          <w:szCs w:val="22"/>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Justified"/>
        <w:widowControl/>
        <w:spacing w:before="0" w:after="0"/>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Heading2"/>
        <w:spacing w:before="0" w:after="0"/>
        <w:rPr>
          <w:sz w:val="22"/>
        </w:rPr>
      </w:pPr>
      <w:r>
        <w:rPr>
          <w:rFonts w:cs="Times New Roman" w:ascii="Times New Roman" w:hAnsi="Times New Roman"/>
          <w:sz w:val="22"/>
        </w:rPr>
        <w:t>(i)</w:t>
        <w:tab/>
        <w:t>It is specifically agreed by the parties hereto that no physical delivery of any Commodity or any product derived from a Commodity, other than a Futures Contract, shall be permitted or made in any Confirmation or in any Transaction under this Agreement.</w:t>
      </w:r>
    </w:p>
    <w:p>
      <w:pPr>
        <w:pStyle w:val="Normal"/>
        <w:jc w:val="both"/>
        <w:rPr>
          <w:b/>
          <w:bCs/>
          <w:color w:val="000000"/>
          <w:sz w:val="22"/>
          <w:szCs w:val="22"/>
        </w:rPr>
      </w:pPr>
      <w:r>
        <w:rPr>
          <w:b/>
          <w:bCs/>
          <w:color w:val="000000"/>
          <w:sz w:val="22"/>
          <w:szCs w:val="22"/>
        </w:rPr>
      </w:r>
    </w:p>
    <w:p>
      <w:pPr>
        <w:pStyle w:val="Justified"/>
        <w:widowControl/>
        <w:spacing w:before="0" w:after="0"/>
        <w:rPr>
          <w:rFonts w:ascii="Times New Roman" w:hAnsi="Times New Roman" w:cs="Times New Roman"/>
          <w:b/>
          <w:bCs/>
          <w:color w:val="000000"/>
          <w:sz w:val="22"/>
          <w:szCs w:val="22"/>
        </w:rPr>
      </w:pPr>
      <w:r>
        <w:rPr>
          <w:rFonts w:cs="Times New Roman" w:ascii="Times New Roman" w:hAnsi="Times New Roman"/>
          <w:b/>
          <w:bCs/>
          <w:color w:val="000000"/>
          <w:sz w:val="22"/>
          <w:szCs w:val="22"/>
        </w:rPr>
      </w:r>
    </w:p>
    <w:p>
      <w:pPr>
        <w:pStyle w:val="Justified"/>
        <w:widowControl/>
        <w:spacing w:before="0" w:after="0"/>
        <w:rPr>
          <w:rFonts w:ascii="Times New Roman" w:hAnsi="Times New Roman" w:cs="Times New Roman"/>
          <w:color w:val="000000"/>
        </w:rPr>
      </w:pPr>
      <w:r>
        <w:rPr>
          <w:rFonts w:cs="Times New Roman" w:ascii="Times New Roman" w:hAnsi="Times New Roman"/>
          <w:color w:val="000000"/>
        </w:rPr>
      </w:r>
    </w:p>
    <w:p>
      <w:pPr>
        <w:pStyle w:val="Justified"/>
        <w:widowControl/>
        <w:spacing w:before="0" w:after="0"/>
        <w:rPr>
          <w:rFonts w:ascii="Times New Roman" w:hAnsi="Times New Roman" w:cs="Times New Roman"/>
          <w:color w:val="000000"/>
        </w:rPr>
      </w:pPr>
      <w:r>
        <w:rPr>
          <w:rFonts w:cs="Times New Roman" w:ascii="Times New Roman" w:hAnsi="Times New Roman"/>
          <w:color w:val="000000"/>
        </w:rPr>
        <w:t>EXECUTED effective as of the date first written above.</w:t>
      </w:r>
    </w:p>
    <w:p>
      <w:pPr>
        <w:pStyle w:val="Normal"/>
        <w:jc w:val="both"/>
        <w:rPr>
          <w:rFonts w:ascii="Times New Roman" w:hAnsi="Times New Roman" w:cs="Times New Roman"/>
          <w:color w:val="000000"/>
          <w:sz w:val="22"/>
          <w:szCs w:val="22"/>
        </w:rPr>
      </w:pPr>
      <w:r>
        <w:rPr>
          <w:rFonts w:cs="Times New Roman"/>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b/>
                <w:bCs/>
                <w:color w:val="000000"/>
                <w:sz w:val="22"/>
                <w:szCs w:val="22"/>
              </w:rPr>
            </w:pPr>
            <w:r>
              <w:rPr>
                <w:b/>
                <w:bCs/>
                <w:color w:val="000000"/>
                <w:sz w:val="22"/>
                <w:szCs w:val="22"/>
              </w:rPr>
              <w:t>ENRON CANADA CORP.</w:t>
            </w:r>
          </w:p>
          <w:p>
            <w:pPr>
              <w:pStyle w:val="Normal"/>
              <w:keepNext w:val="true"/>
              <w:spacing w:lineRule="exact" w:line="240"/>
              <w:jc w:val="both"/>
              <w:rPr>
                <w:b/>
                <w:bCs/>
                <w:color w:val="000000"/>
                <w:sz w:val="22"/>
                <w:szCs w:val="22"/>
              </w:rPr>
            </w:pPr>
            <w:r>
              <w:rPr>
                <w:b/>
                <w:bCs/>
                <w:color w:val="000000"/>
                <w:sz w:val="22"/>
                <w:szCs w:val="22"/>
              </w:rPr>
            </w:r>
          </w:p>
          <w:p>
            <w:pPr>
              <w:pStyle w:val="Normal"/>
              <w:keepNext w:val="true"/>
              <w:spacing w:lineRule="exact" w:line="240"/>
              <w:jc w:val="both"/>
              <w:rPr/>
            </w:pPr>
            <w:r>
              <w:rPr>
                <w:color w:val="000000"/>
                <w:sz w:val="22"/>
                <w:szCs w:val="22"/>
              </w:rPr>
              <w:t>By:</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ab/>
              <w:t>Peter C.M. Keohane</w:t>
            </w:r>
          </w:p>
          <w:p>
            <w:pPr>
              <w:pStyle w:val="Normal"/>
              <w:keepNext w:val="true"/>
              <w:spacing w:lineRule="exact" w:line="240"/>
              <w:jc w:val="both"/>
              <w:rPr>
                <w:color w:val="000000"/>
                <w:sz w:val="22"/>
                <w:szCs w:val="22"/>
              </w:rPr>
            </w:pPr>
            <w:r>
              <w:rPr>
                <w:color w:val="000000"/>
                <w:sz w:val="22"/>
                <w:szCs w:val="22"/>
              </w:rPr>
              <w:tab/>
              <w:t>Director</w:t>
            </w:r>
          </w:p>
          <w:p>
            <w:pPr>
              <w:pStyle w:val="Normal"/>
              <w:keepNext w:val="true"/>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c>
          <w:tcPr>
            <w:tcW w:w="4788" w:type="dxa"/>
            <w:tcBorders/>
          </w:tcPr>
          <w:p>
            <w:pPr>
              <w:pStyle w:val="Normal"/>
              <w:keepNext w:val="true"/>
              <w:spacing w:lineRule="exact" w:line="240"/>
              <w:jc w:val="both"/>
              <w:rPr>
                <w:color w:val="000000"/>
                <w:sz w:val="22"/>
                <w:szCs w:val="22"/>
              </w:rPr>
            </w:pPr>
            <w:r>
              <w:rPr>
                <w:b/>
                <w:bCs/>
                <w:color w:val="000000"/>
                <w:sz w:val="22"/>
                <w:szCs w:val="22"/>
              </w:rPr>
              <w:t>ROYAL BANK OF CANADA</w:t>
            </w:r>
          </w:p>
          <w:p>
            <w:pPr>
              <w:pStyle w:val="Normal"/>
              <w:keepNext w:val="true"/>
              <w:spacing w:lineRule="exact" w:line="240"/>
              <w:jc w:val="both"/>
              <w:rPr>
                <w:color w:val="000000"/>
                <w:sz w:val="22"/>
                <w:szCs w:val="22"/>
              </w:rPr>
            </w:pPr>
            <w:r>
              <w:rPr>
                <w:color w:val="000000"/>
                <w:sz w:val="22"/>
                <w:szCs w:val="22"/>
              </w:rPr>
            </w:r>
          </w:p>
          <w:p>
            <w:pPr>
              <w:pStyle w:val="Normal"/>
              <w:keepNext w:val="true"/>
              <w:spacing w:lineRule="exact" w:line="240"/>
              <w:jc w:val="both"/>
              <w:rPr>
                <w:color w:val="000000"/>
                <w:sz w:val="22"/>
                <w:szCs w:val="22"/>
              </w:rPr>
            </w:pPr>
            <w:r>
              <w:rPr>
                <w:color w:val="000000"/>
                <w:sz w:val="22"/>
                <w:szCs w:val="22"/>
              </w:rPr>
            </w:r>
          </w:p>
          <w:p>
            <w:pPr>
              <w:pStyle w:val="Normal"/>
              <w:keepNext w:val="true"/>
              <w:spacing w:lineRule="exact" w:line="240"/>
              <w:jc w:val="both"/>
              <w:rPr/>
            </w:pPr>
            <w:r>
              <w:rPr>
                <w:color w:val="000000"/>
                <w:sz w:val="22"/>
                <w:szCs w:val="22"/>
              </w:rPr>
              <w:t>By:</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Name:</w:t>
              <w:tab/>
            </w:r>
            <w:r>
              <w:rPr>
                <w:color w:val="000000"/>
                <w:sz w:val="22"/>
                <w:szCs w:val="22"/>
                <w:u w:val="single"/>
              </w:rPr>
              <w:tab/>
              <w:tab/>
              <w:tab/>
              <w:tab/>
              <w:tab/>
            </w:r>
          </w:p>
          <w:p>
            <w:pPr>
              <w:pStyle w:val="Normal"/>
              <w:keepNext w:val="true"/>
              <w:spacing w:lineRule="exact" w:line="240"/>
              <w:jc w:val="both"/>
              <w:rPr/>
            </w:pPr>
            <w:r>
              <w:rPr>
                <w:color w:val="000000"/>
                <w:sz w:val="22"/>
                <w:szCs w:val="22"/>
              </w:rPr>
              <w:t>Title:</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r>
    </w:tbl>
    <w:p>
      <w:pPr>
        <w:pStyle w:val="Normal"/>
        <w:tabs>
          <w:tab w:val="clear" w:pos="720"/>
          <w:tab w:val="left" w:pos="2880" w:leader="none"/>
        </w:tabs>
        <w:spacing w:lineRule="exact" w:line="240"/>
        <w:ind w:hanging="2880" w:start="2880" w:end="0"/>
        <w:jc w:val="both"/>
        <w:rPr>
          <w:color w:val="000000"/>
          <w:sz w:val="22"/>
          <w:szCs w:val="22"/>
        </w:rPr>
      </w:pPr>
      <w:r>
        <w:rPr>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spacing w:lineRule="exact" w:line="240"/>
              <w:jc w:val="both"/>
              <w:rPr>
                <w:color w:val="000000"/>
                <w:sz w:val="22"/>
                <w:szCs w:val="22"/>
              </w:rPr>
            </w:pPr>
            <w:r>
              <w:rPr>
                <w:color w:val="000000"/>
                <w:sz w:val="22"/>
                <w:szCs w:val="22"/>
              </w:rPr>
            </w:r>
          </w:p>
        </w:tc>
        <w:tc>
          <w:tcPr>
            <w:tcW w:w="4788" w:type="dxa"/>
            <w:tcBorders/>
          </w:tcPr>
          <w:p>
            <w:pPr>
              <w:pStyle w:val="Normal"/>
              <w:spacing w:lineRule="exact" w:line="240"/>
              <w:jc w:val="both"/>
              <w:rPr/>
            </w:pPr>
            <w:r>
              <w:rPr>
                <w:color w:val="000000"/>
                <w:sz w:val="22"/>
                <w:szCs w:val="22"/>
              </w:rPr>
              <w:t>By:</w:t>
              <w:tab/>
            </w:r>
            <w:r>
              <w:rPr>
                <w:color w:val="000000"/>
                <w:sz w:val="22"/>
                <w:szCs w:val="22"/>
                <w:u w:val="single"/>
              </w:rPr>
              <w:tab/>
              <w:tab/>
              <w:tab/>
              <w:tab/>
              <w:tab/>
            </w:r>
          </w:p>
          <w:p>
            <w:pPr>
              <w:pStyle w:val="Normal"/>
              <w:spacing w:lineRule="exact" w:line="240"/>
              <w:jc w:val="both"/>
              <w:rPr>
                <w:color w:val="000000"/>
                <w:sz w:val="22"/>
                <w:szCs w:val="22"/>
              </w:rPr>
            </w:pPr>
            <w:r>
              <w:rPr>
                <w:color w:val="000000"/>
                <w:sz w:val="22"/>
                <w:szCs w:val="22"/>
              </w:rPr>
              <w:t>Name:</w:t>
              <w:tab/>
            </w:r>
            <w:r>
              <w:rPr>
                <w:color w:val="000000"/>
                <w:sz w:val="22"/>
                <w:szCs w:val="22"/>
                <w:u w:val="single"/>
              </w:rPr>
              <w:tab/>
              <w:tab/>
              <w:tab/>
              <w:tab/>
              <w:tab/>
            </w:r>
          </w:p>
          <w:p>
            <w:pPr>
              <w:pStyle w:val="Normal"/>
              <w:spacing w:lineRule="exact" w:line="240"/>
              <w:jc w:val="both"/>
              <w:rPr/>
            </w:pPr>
            <w:r>
              <w:rPr>
                <w:color w:val="000000"/>
                <w:sz w:val="22"/>
                <w:szCs w:val="22"/>
              </w:rPr>
              <w:t>Title:</w:t>
              <w:tab/>
            </w:r>
            <w:r>
              <w:rPr>
                <w:color w:val="000000"/>
                <w:sz w:val="22"/>
                <w:szCs w:val="22"/>
                <w:u w:val="single"/>
              </w:rPr>
              <w:tab/>
              <w:tab/>
              <w:tab/>
              <w:tab/>
              <w:tab/>
            </w:r>
          </w:p>
          <w:p>
            <w:pPr>
              <w:pStyle w:val="Normal"/>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r>
    </w:tbl>
    <w:p>
      <w:pPr>
        <w:pStyle w:val="Normal"/>
        <w:tabs>
          <w:tab w:val="clear" w:pos="720"/>
          <w:tab w:val="left" w:pos="2880" w:leader="none"/>
        </w:tabs>
        <w:spacing w:lineRule="exact" w:line="240"/>
        <w:ind w:hanging="2880" w:start="2880" w:end="0"/>
        <w:jc w:val="both"/>
        <w:rPr>
          <w:color w:val="000000"/>
          <w:sz w:val="22"/>
          <w:szCs w:val="22"/>
        </w:rPr>
      </w:pPr>
      <w:r>
        <w:rPr>
          <w:color w:val="000000"/>
          <w:sz w:val="22"/>
          <w:szCs w:val="22"/>
        </w:rPr>
      </w:r>
    </w:p>
    <w:p>
      <w:pPr>
        <w:pStyle w:val="Normal"/>
        <w:tabs>
          <w:tab w:val="clear" w:pos="720"/>
          <w:tab w:val="left" w:pos="2700" w:leader="none"/>
        </w:tabs>
        <w:spacing w:lineRule="exact" w:line="240"/>
        <w:ind w:hanging="2700" w:start="2700" w:end="0"/>
        <w:jc w:val="both"/>
        <w:rPr>
          <w:color w:val="000000"/>
          <w:sz w:val="22"/>
          <w:szCs w:val="22"/>
        </w:rPr>
      </w:pPr>
      <w:r>
        <w:rPr>
          <w:color w:val="000000"/>
          <w:sz w:val="22"/>
          <w:szCs w:val="22"/>
        </w:rPr>
        <w:t>ATTACHMENT 1-1 – 1-3</w:t>
        <w:tab/>
        <w:t>FORM OF LEGAL OPINIONS (PARTY A)</w:t>
      </w:r>
    </w:p>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SCHEDULE 1</w:t>
        <w:tab/>
        <w:t>IRREVOCABLE TRANSFERABLE STANDBY LETTER OF CREDIT</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EXHIBIT A</w:t>
        <w:tab/>
        <w:t>FORM OF GUARANTY (PARTY A)</w:t>
      </w:r>
    </w:p>
    <w:p>
      <w:pPr>
        <w:pStyle w:val="Normal"/>
        <w:jc w:val="center"/>
        <w:rPr>
          <w:b/>
          <w:bCs/>
          <w:color w:val="000000"/>
          <w:sz w:val="22"/>
          <w:szCs w:val="22"/>
          <w:u w:val="single"/>
        </w:rPr>
      </w:pPr>
      <w:r>
        <w:rPr>
          <w:b/>
          <w:bCs/>
          <w:color w:val="000000"/>
          <w:sz w:val="22"/>
          <w:szCs w:val="22"/>
          <w:u w:val="single"/>
        </w:rPr>
        <w:t>PARAGRAPH 13</w:t>
      </w:r>
    </w:p>
    <w:p>
      <w:pPr>
        <w:pStyle w:val="Normal"/>
        <w:jc w:val="center"/>
        <w:rPr>
          <w:b/>
          <w:bCs/>
          <w:color w:val="000000"/>
          <w:sz w:val="22"/>
          <w:szCs w:val="22"/>
        </w:rPr>
      </w:pPr>
      <w:r>
        <w:rPr>
          <w:b/>
          <w:bCs/>
          <w:color w:val="000000"/>
          <w:sz w:val="22"/>
          <w:szCs w:val="22"/>
        </w:rPr>
        <w:t>to the</w:t>
      </w:r>
    </w:p>
    <w:p>
      <w:pPr>
        <w:pStyle w:val="Normal"/>
        <w:jc w:val="center"/>
        <w:rPr>
          <w:b/>
          <w:bCs/>
          <w:color w:val="000000"/>
          <w:sz w:val="22"/>
          <w:szCs w:val="22"/>
        </w:rPr>
      </w:pPr>
      <w:r>
        <w:rPr>
          <w:b/>
          <w:bCs/>
          <w:color w:val="000000"/>
          <w:sz w:val="22"/>
          <w:szCs w:val="22"/>
        </w:rPr>
        <w:t>ISDA CREDIT SUPPORT ANNEX</w:t>
      </w:r>
    </w:p>
    <w:p>
      <w:pPr>
        <w:pStyle w:val="Normal"/>
        <w:jc w:val="center"/>
        <w:rPr>
          <w:b/>
          <w:bCs/>
          <w:color w:val="000000"/>
          <w:sz w:val="22"/>
          <w:szCs w:val="22"/>
        </w:rPr>
      </w:pPr>
      <w:r>
        <w:rPr>
          <w:b/>
          <w:bCs/>
          <w:color w:val="000000"/>
          <w:sz w:val="22"/>
          <w:szCs w:val="22"/>
        </w:rPr>
      </w:r>
    </w:p>
    <w:p>
      <w:pPr>
        <w:pStyle w:val="Normal"/>
        <w:jc w:val="center"/>
        <w:rPr>
          <w:b/>
          <w:bCs/>
          <w:color w:val="000000"/>
          <w:sz w:val="22"/>
          <w:szCs w:val="22"/>
        </w:rPr>
      </w:pPr>
      <w:r>
        <w:rPr>
          <w:b/>
          <w:bCs/>
          <w:color w:val="000000"/>
          <w:sz w:val="22"/>
          <w:szCs w:val="22"/>
        </w:rPr>
        <w:t>dated as of September 28, 2000</w:t>
      </w:r>
    </w:p>
    <w:p>
      <w:pPr>
        <w:pStyle w:val="Normal"/>
        <w:jc w:val="center"/>
        <w:rPr>
          <w:b/>
          <w:bCs/>
          <w:color w:val="000000"/>
          <w:sz w:val="22"/>
          <w:szCs w:val="22"/>
        </w:rPr>
      </w:pPr>
      <w:r>
        <w:rPr>
          <w:b/>
          <w:bCs/>
          <w:color w:val="000000"/>
          <w:sz w:val="22"/>
          <w:szCs w:val="22"/>
        </w:rPr>
      </w:r>
    </w:p>
    <w:p>
      <w:pPr>
        <w:pStyle w:val="Normal"/>
        <w:jc w:val="center"/>
        <w:rPr>
          <w:b/>
          <w:bCs/>
          <w:color w:val="000000"/>
          <w:sz w:val="22"/>
          <w:szCs w:val="22"/>
        </w:rPr>
      </w:pPr>
      <w:r>
        <w:rPr>
          <w:b/>
          <w:bCs/>
          <w:color w:val="000000"/>
          <w:sz w:val="22"/>
          <w:szCs w:val="22"/>
        </w:rPr>
        <w:t>between</w:t>
      </w:r>
    </w:p>
    <w:p>
      <w:pPr>
        <w:pStyle w:val="Normal"/>
        <w:jc w:val="center"/>
        <w:rPr>
          <w:b/>
          <w:bCs/>
          <w:color w:val="000000"/>
          <w:sz w:val="22"/>
          <w:szCs w:val="22"/>
        </w:rPr>
      </w:pPr>
      <w:r>
        <w:rPr>
          <w:b/>
          <w:bCs/>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jc w:val="center"/>
              <w:rPr>
                <w:b/>
                <w:bCs/>
                <w:color w:val="000000"/>
                <w:sz w:val="22"/>
                <w:szCs w:val="22"/>
              </w:rPr>
            </w:pPr>
            <w:r>
              <w:rPr>
                <w:b/>
                <w:bCs/>
                <w:color w:val="000000"/>
                <w:sz w:val="22"/>
                <w:szCs w:val="22"/>
              </w:rPr>
              <w:t>ENRON CANADA CORP., a corporation organized under the law of the Province of Alberta (“Party A”), and</w:t>
            </w:r>
          </w:p>
        </w:tc>
        <w:tc>
          <w:tcPr>
            <w:tcW w:w="4788" w:type="dxa"/>
            <w:tcBorders/>
          </w:tcPr>
          <w:p>
            <w:pPr>
              <w:pStyle w:val="Normal"/>
              <w:tabs>
                <w:tab w:val="clear" w:pos="720"/>
                <w:tab w:val="center" w:pos="5760" w:leader="none"/>
              </w:tabs>
              <w:jc w:val="center"/>
              <w:rPr>
                <w:b/>
                <w:bCs/>
                <w:color w:val="000000"/>
                <w:sz w:val="22"/>
                <w:szCs w:val="22"/>
              </w:rPr>
            </w:pPr>
            <w:r>
              <w:rPr>
                <w:b/>
                <w:bCs/>
                <w:color w:val="000000"/>
                <w:sz w:val="22"/>
                <w:szCs w:val="22"/>
              </w:rPr>
              <w:t>ROYAL BANK OF CANADA, a Canadian chartered bank (“Party B”)</w:t>
            </w:r>
          </w:p>
        </w:tc>
      </w:tr>
    </w:tbl>
    <w:p>
      <w:pPr>
        <w:pStyle w:val="Justified"/>
        <w:spacing w:before="0" w:after="0"/>
        <w:rPr>
          <w:rFonts w:ascii="Times New Roman" w:hAnsi="Times New Roman" w:cs="Times New Roman"/>
          <w:color w:val="000000"/>
        </w:rPr>
      </w:pPr>
      <w:r>
        <w:rPr>
          <w:rFonts w:cs="Times New Roman" w:ascii="Times New Roman" w:hAnsi="Times New Roman"/>
          <w:color w:val="000000"/>
        </w:rPr>
      </w:r>
    </w:p>
    <w:p>
      <w:pPr>
        <w:pStyle w:val="Normal"/>
        <w:jc w:val="both"/>
        <w:rPr>
          <w:color w:val="000000"/>
          <w:sz w:val="22"/>
          <w:szCs w:val="22"/>
        </w:rPr>
      </w:pPr>
      <w:r>
        <w:rPr>
          <w:b/>
          <w:bCs/>
          <w:color w:val="000000"/>
          <w:sz w:val="22"/>
          <w:szCs w:val="22"/>
        </w:rPr>
        <w:t>Paragraph 13.  Elections and Variables.</w:t>
      </w:r>
    </w:p>
    <w:p>
      <w:pPr>
        <w:pStyle w:val="Normal"/>
        <w:jc w:val="both"/>
        <w:rPr>
          <w:color w:val="000000"/>
          <w:sz w:val="22"/>
          <w:szCs w:val="22"/>
        </w:rPr>
      </w:pPr>
      <w:r>
        <w:rPr>
          <w:color w:val="000000"/>
          <w:sz w:val="22"/>
          <w:szCs w:val="22"/>
        </w:rPr>
      </w:r>
    </w:p>
    <w:p>
      <w:pPr>
        <w:pStyle w:val="Normal"/>
        <w:ind w:hanging="720" w:start="720" w:end="0"/>
        <w:jc w:val="both"/>
        <w:rPr/>
      </w:pPr>
      <w:r>
        <w:rPr>
          <w:color w:val="000000"/>
          <w:sz w:val="22"/>
          <w:szCs w:val="22"/>
        </w:rPr>
        <w:t>(a)</w:t>
        <w:tab/>
      </w:r>
      <w:r>
        <w:rPr>
          <w:b/>
          <w:bCs/>
          <w:color w:val="000000"/>
          <w:sz w:val="22"/>
          <w:szCs w:val="22"/>
        </w:rPr>
        <w:t>Security Interest for “Obligations”.</w:t>
      </w:r>
      <w:r>
        <w:rPr>
          <w:color w:val="000000"/>
          <w:sz w:val="22"/>
          <w:szCs w:val="22"/>
        </w:rPr>
        <w:t xml:space="preserve">  The term “</w:t>
      </w:r>
      <w:r>
        <w:rPr>
          <w:b/>
          <w:bCs/>
          <w:color w:val="000000"/>
          <w:sz w:val="22"/>
          <w:szCs w:val="22"/>
        </w:rPr>
        <w:t>Obligations”</w:t>
      </w:r>
      <w:r>
        <w:rPr>
          <w:color w:val="000000"/>
          <w:sz w:val="22"/>
          <w:szCs w:val="22"/>
        </w:rPr>
        <w:t xml:space="preserve"> as used in this Annex includes the following additional obligations:</w:t>
      </w:r>
    </w:p>
    <w:p>
      <w:pPr>
        <w:pStyle w:val="Normal"/>
        <w:ind w:hanging="360" w:start="360" w:end="0"/>
        <w:jc w:val="both"/>
        <w:rPr>
          <w:color w:val="000000"/>
          <w:sz w:val="22"/>
          <w:szCs w:val="22"/>
        </w:rPr>
      </w:pPr>
      <w:r>
        <w:rPr>
          <w:color w:val="000000"/>
          <w:sz w:val="22"/>
          <w:szCs w:val="22"/>
        </w:rPr>
      </w:r>
    </w:p>
    <w:p>
      <w:pPr>
        <w:pStyle w:val="Normal"/>
        <w:ind w:start="630" w:end="0"/>
        <w:jc w:val="both"/>
        <w:rPr>
          <w:color w:val="000000"/>
          <w:sz w:val="22"/>
          <w:szCs w:val="22"/>
        </w:rPr>
      </w:pPr>
      <w:r>
        <w:rPr>
          <w:color w:val="000000"/>
          <w:sz w:val="22"/>
          <w:szCs w:val="22"/>
        </w:rPr>
        <w:t>With respect to Party A:  None.</w:t>
      </w:r>
    </w:p>
    <w:p>
      <w:pPr>
        <w:pStyle w:val="Normal"/>
        <w:ind w:start="630" w:end="0"/>
        <w:jc w:val="both"/>
        <w:rPr>
          <w:color w:val="000000"/>
          <w:sz w:val="22"/>
          <w:szCs w:val="22"/>
        </w:rPr>
      </w:pPr>
      <w:r>
        <w:rPr>
          <w:color w:val="000000"/>
          <w:sz w:val="22"/>
          <w:szCs w:val="22"/>
        </w:rPr>
      </w:r>
    </w:p>
    <w:p>
      <w:pPr>
        <w:pStyle w:val="Normal"/>
        <w:ind w:start="630" w:end="0"/>
        <w:jc w:val="both"/>
        <w:rPr>
          <w:color w:val="000000"/>
          <w:sz w:val="22"/>
          <w:szCs w:val="22"/>
        </w:rPr>
      </w:pPr>
      <w:r>
        <w:rPr>
          <w:color w:val="000000"/>
          <w:sz w:val="22"/>
          <w:szCs w:val="22"/>
        </w:rPr>
        <w:t>With respect to Party B:  None.</w:t>
      </w:r>
    </w:p>
    <w:p>
      <w:pPr>
        <w:pStyle w:val="Normal"/>
        <w:ind w:hanging="720" w:start="720" w:end="0"/>
        <w:jc w:val="both"/>
        <w:rPr>
          <w:color w:val="000000"/>
          <w:sz w:val="22"/>
          <w:szCs w:val="22"/>
        </w:rPr>
      </w:pPr>
      <w:r>
        <w:rPr>
          <w:color w:val="000000"/>
          <w:sz w:val="22"/>
          <w:szCs w:val="22"/>
        </w:rPr>
      </w:r>
    </w:p>
    <w:p>
      <w:pPr>
        <w:pStyle w:val="Normal"/>
        <w:ind w:hanging="360" w:start="360" w:end="0"/>
        <w:jc w:val="both"/>
        <w:rPr/>
      </w:pPr>
      <w:r>
        <w:rPr>
          <w:color w:val="000000"/>
          <w:sz w:val="22"/>
          <w:szCs w:val="22"/>
        </w:rPr>
        <w:t>(b)</w:t>
        <w:tab/>
      </w:r>
      <w:r>
        <w:rPr>
          <w:b/>
          <w:bCs/>
          <w:color w:val="000000"/>
          <w:sz w:val="22"/>
          <w:szCs w:val="22"/>
        </w:rPr>
        <w:t>Credit Support Obligations.</w:t>
      </w:r>
    </w:p>
    <w:p>
      <w:pPr>
        <w:pStyle w:val="Normal"/>
        <w:ind w:hanging="720" w:start="720" w:end="0"/>
        <w:jc w:val="both"/>
        <w:rPr>
          <w:b/>
          <w:bCs/>
          <w:color w:val="000000"/>
          <w:sz w:val="22"/>
          <w:szCs w:val="22"/>
        </w:rPr>
      </w:pPr>
      <w:r>
        <w:rPr>
          <w:b/>
          <w:bCs/>
          <w:color w:val="000000"/>
          <w:sz w:val="22"/>
          <w:szCs w:val="22"/>
        </w:rPr>
      </w:r>
    </w:p>
    <w:p>
      <w:pPr>
        <w:pStyle w:val="Normal"/>
        <w:ind w:start="720" w:end="0"/>
        <w:jc w:val="both"/>
        <w:rPr>
          <w:color w:val="000000"/>
          <w:sz w:val="22"/>
          <w:szCs w:val="22"/>
        </w:rPr>
      </w:pPr>
      <w:r>
        <w:rPr>
          <w:color w:val="000000"/>
          <w:sz w:val="22"/>
          <w:szCs w:val="22"/>
        </w:rPr>
        <w:t xml:space="preserve">(i)  </w:t>
      </w:r>
      <w:r>
        <w:rPr>
          <w:b/>
          <w:bCs/>
          <w:color w:val="000000"/>
          <w:sz w:val="22"/>
          <w:szCs w:val="22"/>
        </w:rPr>
        <w:t>Delivery Amount, Return Amount, and Credit Support Amount.</w:t>
      </w:r>
    </w:p>
    <w:p>
      <w:pPr>
        <w:pStyle w:val="Normal"/>
        <w:ind w:hanging="1260" w:start="1440" w:end="0"/>
        <w:jc w:val="both"/>
        <w:rPr>
          <w:color w:val="000000"/>
          <w:sz w:val="22"/>
          <w:szCs w:val="22"/>
        </w:rPr>
      </w:pPr>
      <w:r>
        <w:rPr>
          <w:color w:val="000000"/>
          <w:sz w:val="22"/>
          <w:szCs w:val="22"/>
        </w:rPr>
      </w:r>
    </w:p>
    <w:p>
      <w:pPr>
        <w:pStyle w:val="Normal"/>
        <w:tabs>
          <w:tab w:val="clear" w:pos="720"/>
          <w:tab w:val="left" w:pos="1080" w:leader="none"/>
        </w:tabs>
        <w:ind w:start="720" w:end="0"/>
        <w:jc w:val="both"/>
        <w:rPr/>
      </w:pPr>
      <w:r>
        <w:rPr>
          <w:color w:val="000000"/>
          <w:sz w:val="22"/>
          <w:szCs w:val="22"/>
        </w:rPr>
        <w:t xml:space="preserve">(A) </w:t>
      </w:r>
      <w:r>
        <w:rPr>
          <w:b/>
          <w:bCs/>
          <w:color w:val="000000"/>
          <w:sz w:val="22"/>
          <w:szCs w:val="22"/>
        </w:rPr>
        <w:t>“Delivery Amount”</w:t>
      </w:r>
      <w:r>
        <w:rPr>
          <w:color w:val="000000"/>
          <w:sz w:val="22"/>
          <w:szCs w:val="22"/>
        </w:rPr>
        <w:t xml:space="preserve"> has the meaning specified in Paragraph 3(a).</w:t>
      </w:r>
    </w:p>
    <w:p>
      <w:pPr>
        <w:pStyle w:val="Normal"/>
        <w:ind w:start="720" w:end="0"/>
        <w:jc w:val="both"/>
        <w:rPr>
          <w:color w:val="000000"/>
          <w:sz w:val="22"/>
          <w:szCs w:val="22"/>
        </w:rPr>
      </w:pPr>
      <w:r>
        <w:rPr>
          <w:color w:val="000000"/>
          <w:sz w:val="22"/>
          <w:szCs w:val="22"/>
        </w:rPr>
      </w:r>
    </w:p>
    <w:p>
      <w:pPr>
        <w:pStyle w:val="Normal"/>
        <w:tabs>
          <w:tab w:val="clear" w:pos="720"/>
          <w:tab w:val="left" w:pos="1080" w:leader="none"/>
        </w:tabs>
        <w:ind w:start="720" w:end="0"/>
        <w:jc w:val="both"/>
        <w:rPr/>
      </w:pPr>
      <w:r>
        <w:rPr>
          <w:color w:val="000000"/>
          <w:sz w:val="22"/>
          <w:szCs w:val="22"/>
        </w:rPr>
        <w:t xml:space="preserve">(B) </w:t>
      </w:r>
      <w:r>
        <w:rPr>
          <w:b/>
          <w:bCs/>
          <w:color w:val="000000"/>
          <w:sz w:val="22"/>
          <w:szCs w:val="22"/>
        </w:rPr>
        <w:t>“Return Amount”</w:t>
      </w:r>
      <w:r>
        <w:rPr>
          <w:color w:val="000000"/>
          <w:sz w:val="22"/>
          <w:szCs w:val="22"/>
        </w:rPr>
        <w:t xml:space="preserve"> has the meaning specified in Paragraph 3(b).</w:t>
      </w:r>
    </w:p>
    <w:p>
      <w:pPr>
        <w:pStyle w:val="Normal"/>
        <w:ind w:start="720" w:end="0"/>
        <w:jc w:val="both"/>
        <w:rPr>
          <w:color w:val="000000"/>
          <w:sz w:val="22"/>
          <w:szCs w:val="22"/>
        </w:rPr>
      </w:pPr>
      <w:r>
        <w:rPr>
          <w:color w:val="000000"/>
          <w:sz w:val="22"/>
          <w:szCs w:val="22"/>
        </w:rPr>
      </w:r>
    </w:p>
    <w:p>
      <w:pPr>
        <w:pStyle w:val="Normal"/>
        <w:tabs>
          <w:tab w:val="clear" w:pos="720"/>
          <w:tab w:val="left" w:pos="1080" w:leader="none"/>
        </w:tabs>
        <w:ind w:start="720" w:end="0"/>
        <w:jc w:val="both"/>
        <w:rPr>
          <w:b/>
          <w:bCs/>
          <w:color w:val="000000"/>
          <w:sz w:val="22"/>
          <w:szCs w:val="22"/>
        </w:rPr>
      </w:pPr>
      <w:r>
        <w:rPr>
          <w:color w:val="000000"/>
          <w:sz w:val="22"/>
          <w:szCs w:val="22"/>
        </w:rPr>
        <w:t xml:space="preserve">(C) </w:t>
      </w:r>
      <w:r>
        <w:rPr>
          <w:b/>
          <w:bCs/>
          <w:color w:val="000000"/>
          <w:sz w:val="22"/>
          <w:szCs w:val="22"/>
        </w:rPr>
        <w:t>“Credit Support Amount”</w:t>
      </w:r>
      <w:r>
        <w:rPr>
          <w:color w:val="000000"/>
          <w:sz w:val="22"/>
          <w:szCs w:val="22"/>
        </w:rPr>
        <w:t xml:space="preserve"> will mean the higher of (i) the amount calculated as provided in the definition of that term in Paragraph 3 and (ii) the sum of the Pledgor’s Independent Amounts;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tabs>
          <w:tab w:val="clear" w:pos="720"/>
          <w:tab w:val="left" w:pos="1080" w:leader="none"/>
        </w:tabs>
        <w:ind w:start="720" w:end="0"/>
        <w:jc w:val="both"/>
        <w:rPr>
          <w:b/>
          <w:bCs/>
          <w:color w:val="000000"/>
          <w:sz w:val="22"/>
          <w:szCs w:val="22"/>
        </w:rPr>
      </w:pPr>
      <w:r>
        <w:rPr>
          <w:b/>
          <w:bCs/>
          <w:color w:val="000000"/>
          <w:sz w:val="22"/>
          <w:szCs w:val="22"/>
        </w:rPr>
      </w:r>
    </w:p>
    <w:p>
      <w:pPr>
        <w:pStyle w:val="Normal"/>
        <w:ind w:start="720" w:end="0"/>
        <w:jc w:val="both"/>
        <w:rPr/>
      </w:pPr>
      <w:r>
        <w:rPr>
          <w:color w:val="000000"/>
          <w:sz w:val="22"/>
          <w:szCs w:val="22"/>
        </w:rPr>
        <w:t xml:space="preserve">(ii)  </w:t>
      </w:r>
      <w:r>
        <w:rPr>
          <w:b/>
          <w:bCs/>
          <w:color w:val="000000"/>
          <w:sz w:val="22"/>
          <w:szCs w:val="22"/>
        </w:rPr>
        <w:t>Eligible Collateral.</w:t>
      </w:r>
      <w:r>
        <w:rPr>
          <w:color w:val="000000"/>
          <w:sz w:val="22"/>
          <w:szCs w:val="22"/>
        </w:rPr>
        <w:t xml:space="preserve">  The following items will qualify as</w:t>
      </w:r>
      <w:r>
        <w:rPr>
          <w:b/>
          <w:bCs/>
          <w:color w:val="000000"/>
          <w:sz w:val="22"/>
          <w:szCs w:val="22"/>
        </w:rPr>
        <w:t xml:space="preserve"> “Eligible Collateral”</w:t>
      </w:r>
      <w:r>
        <w:rPr>
          <w:color w:val="000000"/>
          <w:sz w:val="22"/>
          <w:szCs w:val="22"/>
        </w:rPr>
        <w:t xml:space="preserve"> for the party specified.</w:t>
      </w:r>
    </w:p>
    <w:p>
      <w:pPr>
        <w:pStyle w:val="Normal"/>
        <w:ind w:start="1440" w:end="0"/>
        <w:jc w:val="both"/>
        <w:rPr>
          <w:color w:val="000000"/>
          <w:sz w:val="22"/>
          <w:szCs w:val="22"/>
        </w:rPr>
      </w:pPr>
      <w:r>
        <w:rPr>
          <w:color w:val="000000"/>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color w:val="000000"/>
                <w:sz w:val="22"/>
                <w:szCs w:val="22"/>
              </w:rPr>
            </w:pPr>
            <w:r>
              <w:rPr>
                <w:b/>
                <w:bCs/>
                <w:color w:val="000000"/>
                <w:sz w:val="22"/>
                <w:szCs w:val="22"/>
              </w:rPr>
            </w:r>
          </w:p>
        </w:tc>
        <w:tc>
          <w:tcPr>
            <w:tcW w:w="2880" w:type="dxa"/>
            <w:tcBorders/>
          </w:tcPr>
          <w:p>
            <w:pPr>
              <w:pStyle w:val="Normal"/>
              <w:keepNext w:val="true"/>
              <w:keepLines/>
              <w:snapToGrid w:val="false"/>
              <w:jc w:val="center"/>
              <w:rPr>
                <w:b/>
                <w:bCs/>
                <w:color w:val="000000"/>
                <w:sz w:val="22"/>
                <w:szCs w:val="22"/>
              </w:rPr>
            </w:pPr>
            <w:r>
              <w:rPr>
                <w:b/>
                <w:bCs/>
                <w:color w:val="000000"/>
                <w:sz w:val="22"/>
                <w:szCs w:val="22"/>
              </w:rPr>
            </w:r>
          </w:p>
        </w:tc>
        <w:tc>
          <w:tcPr>
            <w:tcW w:w="1440"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A</w:t>
            </w:r>
          </w:p>
        </w:tc>
        <w:tc>
          <w:tcPr>
            <w:tcW w:w="1440"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B</w:t>
            </w:r>
          </w:p>
        </w:tc>
        <w:tc>
          <w:tcPr>
            <w:tcW w:w="1365" w:type="dxa"/>
            <w:tcBorders/>
          </w:tcPr>
          <w:p>
            <w:pPr>
              <w:pStyle w:val="Normal"/>
              <w:keepNext w:val="true"/>
              <w:keepLines/>
              <w:jc w:val="center"/>
              <w:rPr>
                <w:b/>
                <w:bCs/>
                <w:color w:val="000000"/>
                <w:sz w:val="22"/>
                <w:szCs w:val="22"/>
              </w:rPr>
            </w:pPr>
            <w:r>
              <w:rPr>
                <w:b/>
                <w:bCs/>
                <w:color w:val="000000"/>
                <w:sz w:val="22"/>
                <w:szCs w:val="22"/>
              </w:rPr>
              <w:t>Valuation</w:t>
            </w:r>
          </w:p>
          <w:p>
            <w:pPr>
              <w:pStyle w:val="Normal"/>
              <w:keepNext w:val="true"/>
              <w:keepLines/>
              <w:jc w:val="center"/>
              <w:rPr>
                <w:b/>
                <w:bCs/>
                <w:color w:val="000000"/>
                <w:sz w:val="22"/>
                <w:szCs w:val="22"/>
              </w:rPr>
            </w:pPr>
            <w:r>
              <w:rPr>
                <w:b/>
                <w:bCs/>
                <w:color w:val="000000"/>
                <w:sz w:val="22"/>
                <w:szCs w:val="22"/>
              </w:rPr>
              <w:t>Percentage</w:t>
            </w:r>
          </w:p>
          <w:p>
            <w:pPr>
              <w:pStyle w:val="Normal"/>
              <w:keepNext w:val="true"/>
              <w:keepLines/>
              <w:jc w:val="center"/>
              <w:rPr>
                <w:b/>
                <w:bCs/>
                <w:color w:val="000000"/>
                <w:sz w:val="22"/>
                <w:szCs w:val="22"/>
              </w:rPr>
            </w:pPr>
            <w:r>
              <w:rPr>
                <w:b/>
                <w:bCs/>
                <w:color w:val="000000"/>
                <w:sz w:val="22"/>
                <w:szCs w:val="22"/>
              </w:rPr>
            </w:r>
          </w:p>
        </w:tc>
      </w:tr>
      <w:tr>
        <w:trPr/>
        <w:tc>
          <w:tcPr>
            <w:tcW w:w="630" w:type="dxa"/>
            <w:tcBorders/>
          </w:tcPr>
          <w:p>
            <w:pPr>
              <w:pStyle w:val="Normal"/>
              <w:jc w:val="both"/>
              <w:rPr>
                <w:color w:val="000000"/>
                <w:sz w:val="22"/>
                <w:szCs w:val="22"/>
              </w:rPr>
            </w:pPr>
            <w:r>
              <w:rPr>
                <w:color w:val="000000"/>
                <w:sz w:val="22"/>
                <w:szCs w:val="22"/>
              </w:rPr>
              <w:t>(A)</w:t>
            </w:r>
          </w:p>
        </w:tc>
        <w:tc>
          <w:tcPr>
            <w:tcW w:w="2880" w:type="dxa"/>
            <w:tcBorders/>
          </w:tcPr>
          <w:p>
            <w:pPr>
              <w:pStyle w:val="Normal"/>
              <w:rPr>
                <w:color w:val="000000"/>
                <w:sz w:val="22"/>
                <w:szCs w:val="22"/>
              </w:rPr>
            </w:pPr>
            <w:r>
              <w:rPr>
                <w:color w:val="000000"/>
                <w:sz w:val="22"/>
                <w:szCs w:val="22"/>
              </w:rPr>
              <w:t>Cash</w:t>
            </w:r>
          </w:p>
          <w:p>
            <w:pPr>
              <w:pStyle w:val="Normal"/>
              <w:rPr>
                <w:color w:val="000000"/>
                <w:sz w:val="22"/>
                <w:szCs w:val="22"/>
              </w:rPr>
            </w:pPr>
            <w:r>
              <w:rPr>
                <w:color w:val="000000"/>
                <w:sz w:val="22"/>
                <w:szCs w:val="22"/>
              </w:rPr>
            </w:r>
          </w:p>
        </w:tc>
        <w:tc>
          <w:tcPr>
            <w:tcW w:w="1440" w:type="dxa"/>
            <w:tcBorders/>
          </w:tcPr>
          <w:p>
            <w:pPr>
              <w:pStyle w:val="Normal"/>
              <w:jc w:val="center"/>
              <w:rPr>
                <w:color w:val="000000"/>
                <w:sz w:val="22"/>
                <w:szCs w:val="22"/>
              </w:rPr>
            </w:pPr>
            <w:r>
              <w:rPr>
                <w:color w:val="000000"/>
                <w:sz w:val="22"/>
                <w:szCs w:val="22"/>
              </w:rPr>
              <w:t>[  ]</w:t>
            </w:r>
          </w:p>
        </w:tc>
        <w:tc>
          <w:tcPr>
            <w:tcW w:w="1440" w:type="dxa"/>
            <w:tcBorders/>
          </w:tcPr>
          <w:p>
            <w:pPr>
              <w:pStyle w:val="Normal"/>
              <w:jc w:val="center"/>
              <w:rPr>
                <w:color w:val="000000"/>
                <w:sz w:val="22"/>
                <w:szCs w:val="22"/>
              </w:rPr>
            </w:pPr>
            <w:r>
              <w:rPr>
                <w:color w:val="000000"/>
                <w:sz w:val="22"/>
                <w:szCs w:val="22"/>
              </w:rPr>
              <w:t>[  ]</w:t>
            </w:r>
          </w:p>
        </w:tc>
        <w:tc>
          <w:tcPr>
            <w:tcW w:w="1365" w:type="dxa"/>
            <w:tcBorders/>
          </w:tcPr>
          <w:p>
            <w:pPr>
              <w:pStyle w:val="Normal"/>
              <w:jc w:val="center"/>
              <w:rPr>
                <w:color w:val="000000"/>
                <w:sz w:val="22"/>
                <w:szCs w:val="22"/>
              </w:rPr>
            </w:pPr>
            <w:r>
              <w:rPr>
                <w:color w:val="000000"/>
                <w:sz w:val="22"/>
                <w:szCs w:val="22"/>
              </w:rPr>
              <w:t>100%</w:t>
            </w:r>
          </w:p>
        </w:tc>
      </w:tr>
      <w:tr>
        <w:trPr/>
        <w:tc>
          <w:tcPr>
            <w:tcW w:w="630" w:type="dxa"/>
            <w:tcBorders/>
          </w:tcPr>
          <w:p>
            <w:pPr>
              <w:pStyle w:val="Normal"/>
              <w:jc w:val="both"/>
              <w:rPr>
                <w:color w:val="000000"/>
                <w:sz w:val="22"/>
                <w:szCs w:val="22"/>
              </w:rPr>
            </w:pPr>
            <w:r>
              <w:rPr>
                <w:color w:val="000000"/>
                <w:sz w:val="22"/>
                <w:szCs w:val="22"/>
              </w:rPr>
              <w:t>(B)</w:t>
            </w:r>
          </w:p>
        </w:tc>
        <w:tc>
          <w:tcPr>
            <w:tcW w:w="2880" w:type="dxa"/>
            <w:tcBorders/>
          </w:tcPr>
          <w:p>
            <w:pPr>
              <w:pStyle w:val="Normal"/>
              <w:rPr>
                <w:color w:val="000000"/>
                <w:sz w:val="22"/>
                <w:szCs w:val="22"/>
              </w:rPr>
            </w:pPr>
            <w:r>
              <w:rPr>
                <w:color w:val="000000"/>
                <w:sz w:val="22"/>
                <w:szCs w:val="22"/>
              </w:rPr>
              <w:t>Negotiable debt obligations issued by the U.S. Treasury Department having an original maturity at issuance of not more than one year (“Government Obligations”)</w:t>
            </w:r>
          </w:p>
          <w:p>
            <w:pPr>
              <w:pStyle w:val="Normal"/>
              <w:rPr>
                <w:color w:val="000000"/>
                <w:sz w:val="22"/>
                <w:szCs w:val="22"/>
              </w:rPr>
            </w:pPr>
            <w:r>
              <w:rPr>
                <w:color w:val="000000"/>
                <w:sz w:val="22"/>
                <w:szCs w:val="22"/>
              </w:rPr>
            </w:r>
          </w:p>
        </w:tc>
        <w:tc>
          <w:tcPr>
            <w:tcW w:w="1440" w:type="dxa"/>
            <w:tcBorders/>
          </w:tcPr>
          <w:p>
            <w:pPr>
              <w:pStyle w:val="Normal"/>
              <w:jc w:val="center"/>
              <w:rPr>
                <w:color w:val="000000"/>
                <w:sz w:val="22"/>
                <w:szCs w:val="22"/>
              </w:rPr>
            </w:pPr>
            <w:r>
              <w:rPr>
                <w:color w:val="000000"/>
                <w:sz w:val="22"/>
                <w:szCs w:val="22"/>
              </w:rPr>
              <w:t>[  ]</w:t>
            </w:r>
          </w:p>
        </w:tc>
        <w:tc>
          <w:tcPr>
            <w:tcW w:w="1440" w:type="dxa"/>
            <w:tcBorders/>
          </w:tcPr>
          <w:p>
            <w:pPr>
              <w:pStyle w:val="Normal"/>
              <w:jc w:val="center"/>
              <w:rPr>
                <w:color w:val="000000"/>
                <w:sz w:val="22"/>
                <w:szCs w:val="22"/>
              </w:rPr>
            </w:pPr>
            <w:r>
              <w:rPr>
                <w:color w:val="000000"/>
                <w:sz w:val="22"/>
                <w:szCs w:val="22"/>
              </w:rPr>
              <w:t>[  ]</w:t>
            </w:r>
          </w:p>
        </w:tc>
        <w:tc>
          <w:tcPr>
            <w:tcW w:w="1365" w:type="dxa"/>
            <w:tcBorders/>
          </w:tcPr>
          <w:p>
            <w:pPr>
              <w:pStyle w:val="Normal"/>
              <w:jc w:val="center"/>
              <w:rPr>
                <w:color w:val="000000"/>
                <w:sz w:val="22"/>
                <w:szCs w:val="22"/>
              </w:rPr>
            </w:pPr>
            <w:r>
              <w:rPr>
                <w:color w:val="000000"/>
                <w:sz w:val="22"/>
                <w:szCs w:val="22"/>
              </w:rPr>
              <w:t>98%</w:t>
            </w:r>
          </w:p>
        </w:tc>
      </w:tr>
      <w:tr>
        <w:trPr/>
        <w:tc>
          <w:tcPr>
            <w:tcW w:w="630" w:type="dxa"/>
            <w:tcBorders/>
          </w:tcPr>
          <w:p>
            <w:pPr>
              <w:pStyle w:val="Normal"/>
              <w:jc w:val="both"/>
              <w:rPr>
                <w:color w:val="000000"/>
                <w:sz w:val="22"/>
                <w:szCs w:val="22"/>
              </w:rPr>
            </w:pPr>
            <w:r>
              <w:rPr>
                <w:color w:val="000000"/>
                <w:sz w:val="22"/>
                <w:szCs w:val="22"/>
              </w:rPr>
              <w:t>(C)</w:t>
            </w:r>
          </w:p>
        </w:tc>
        <w:tc>
          <w:tcPr>
            <w:tcW w:w="2880" w:type="dxa"/>
            <w:tcBorders/>
          </w:tcPr>
          <w:p>
            <w:pPr>
              <w:pStyle w:val="Normal"/>
              <w:rPr>
                <w:color w:val="000000"/>
                <w:sz w:val="22"/>
                <w:szCs w:val="22"/>
              </w:rPr>
            </w:pPr>
            <w:r>
              <w:rPr>
                <w:color w:val="000000"/>
                <w:sz w:val="22"/>
                <w:szCs w:val="22"/>
              </w:rPr>
              <w:t>Other:</w:t>
              <w:tab/>
              <w:t>None</w:t>
            </w:r>
          </w:p>
          <w:p>
            <w:pPr>
              <w:pStyle w:val="Normal"/>
              <w:rPr>
                <w:color w:val="000000"/>
                <w:sz w:val="22"/>
                <w:szCs w:val="22"/>
              </w:rPr>
            </w:pPr>
            <w:r>
              <w:rPr>
                <w:color w:val="000000"/>
                <w:sz w:val="22"/>
                <w:szCs w:val="22"/>
              </w:rPr>
            </w:r>
          </w:p>
        </w:tc>
        <w:tc>
          <w:tcPr>
            <w:tcW w:w="1440" w:type="dxa"/>
            <w:tcBorders/>
          </w:tcPr>
          <w:p>
            <w:pPr>
              <w:pStyle w:val="Normal"/>
              <w:snapToGrid w:val="false"/>
              <w:jc w:val="center"/>
              <w:rPr>
                <w:color w:val="000000"/>
                <w:sz w:val="22"/>
                <w:szCs w:val="22"/>
              </w:rPr>
            </w:pPr>
            <w:r>
              <w:rPr>
                <w:color w:val="000000"/>
                <w:sz w:val="22"/>
                <w:szCs w:val="22"/>
              </w:rPr>
            </w:r>
          </w:p>
        </w:tc>
        <w:tc>
          <w:tcPr>
            <w:tcW w:w="1440" w:type="dxa"/>
            <w:tcBorders/>
          </w:tcPr>
          <w:p>
            <w:pPr>
              <w:pStyle w:val="Normal"/>
              <w:snapToGrid w:val="false"/>
              <w:jc w:val="center"/>
              <w:rPr>
                <w:color w:val="000000"/>
                <w:sz w:val="22"/>
                <w:szCs w:val="22"/>
              </w:rPr>
            </w:pPr>
            <w:r>
              <w:rPr>
                <w:color w:val="000000"/>
                <w:sz w:val="22"/>
                <w:szCs w:val="22"/>
              </w:rPr>
            </w:r>
          </w:p>
        </w:tc>
        <w:tc>
          <w:tcPr>
            <w:tcW w:w="1365" w:type="dxa"/>
            <w:tcBorders/>
          </w:tcPr>
          <w:p>
            <w:pPr>
              <w:pStyle w:val="Normal"/>
              <w:snapToGrid w:val="false"/>
              <w:jc w:val="center"/>
              <w:rPr>
                <w:color w:val="000000"/>
                <w:sz w:val="22"/>
                <w:szCs w:val="22"/>
              </w:rPr>
            </w:pPr>
            <w:r>
              <w:rPr>
                <w:color w:val="000000"/>
                <w:sz w:val="22"/>
                <w:szCs w:val="22"/>
              </w:rPr>
            </w:r>
          </w:p>
        </w:tc>
      </w:tr>
    </w:tbl>
    <w:p>
      <w:pPr>
        <w:pStyle w:val="Normal"/>
        <w:ind w:start="1440" w:end="0"/>
        <w:jc w:val="both"/>
        <w:rPr>
          <w:color w:val="000000"/>
          <w:sz w:val="22"/>
          <w:szCs w:val="22"/>
        </w:rPr>
      </w:pPr>
      <w:r>
        <w:rPr>
          <w:color w:val="000000"/>
          <w:sz w:val="22"/>
          <w:szCs w:val="22"/>
        </w:rPr>
      </w:r>
    </w:p>
    <w:p>
      <w:pPr>
        <w:pStyle w:val="Normal"/>
        <w:ind w:start="720" w:end="0"/>
        <w:jc w:val="both"/>
        <w:rPr>
          <w:b/>
          <w:bCs/>
          <w:color w:val="000000"/>
          <w:sz w:val="22"/>
          <w:szCs w:val="22"/>
        </w:rPr>
      </w:pPr>
      <w:r>
        <w:rPr>
          <w:color w:val="000000"/>
          <w:sz w:val="22"/>
          <w:szCs w:val="22"/>
        </w:rPr>
        <w:t xml:space="preserve">(iii)  </w:t>
      </w:r>
      <w:r>
        <w:rPr>
          <w:b/>
          <w:bCs/>
          <w:color w:val="000000"/>
          <w:sz w:val="22"/>
          <w:szCs w:val="22"/>
        </w:rPr>
        <w:t>Other Eligible Support.</w:t>
      </w:r>
      <w:r>
        <w:rPr>
          <w:color w:val="000000"/>
          <w:sz w:val="22"/>
          <w:szCs w:val="22"/>
        </w:rPr>
        <w:t xml:space="preserve">  The following items will qualify as </w:t>
      </w:r>
      <w:r>
        <w:rPr>
          <w:b/>
          <w:bCs/>
          <w:color w:val="000000"/>
          <w:sz w:val="22"/>
          <w:szCs w:val="22"/>
        </w:rPr>
        <w:t>“Other Eligible Support”</w:t>
      </w:r>
      <w:r>
        <w:rPr>
          <w:color w:val="000000"/>
          <w:sz w:val="22"/>
          <w:szCs w:val="22"/>
        </w:rPr>
        <w:t xml:space="preserve"> for the party specified:</w:t>
      </w:r>
    </w:p>
    <w:p>
      <w:pPr>
        <w:pStyle w:val="Normal"/>
        <w:ind w:start="1440" w:end="0"/>
        <w:jc w:val="both"/>
        <w:rPr>
          <w:b/>
          <w:bCs/>
          <w:color w:val="000000"/>
          <w:sz w:val="22"/>
          <w:szCs w:val="22"/>
        </w:rPr>
      </w:pPr>
      <w:r>
        <w:rPr>
          <w:b/>
          <w:bCs/>
          <w:color w:val="000000"/>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color w:val="000000"/>
              </w:rPr>
            </w:pPr>
            <w:r>
              <w:rPr>
                <w:rFonts w:cs="Times New Roman" w:ascii="Times New Roman" w:hAnsi="Times New Roman"/>
                <w:color w:val="000000"/>
              </w:rPr>
            </w:r>
          </w:p>
        </w:tc>
        <w:tc>
          <w:tcPr>
            <w:tcW w:w="1440" w:type="dxa"/>
            <w:tcBorders/>
          </w:tcPr>
          <w:p>
            <w:pPr>
              <w:pStyle w:val="Normal"/>
              <w:keepNext w:val="true"/>
              <w:keepLines/>
              <w:snapToGrid w:val="false"/>
              <w:jc w:val="center"/>
              <w:rPr>
                <w:rFonts w:ascii="Times New Roman" w:hAnsi="Times New Roman" w:cs="Times New Roman"/>
                <w:b/>
                <w:bCs/>
                <w:color w:val="000000"/>
                <w:sz w:val="22"/>
                <w:szCs w:val="22"/>
              </w:rPr>
            </w:pPr>
            <w:r>
              <w:rPr>
                <w:rFonts w:cs="Times New Roman"/>
                <w:b/>
                <w:bCs/>
                <w:color w:val="000000"/>
                <w:sz w:val="22"/>
                <w:szCs w:val="22"/>
              </w:rPr>
            </w:r>
          </w:p>
          <w:p>
            <w:pPr>
              <w:pStyle w:val="Normal"/>
              <w:keepNext w:val="true"/>
              <w:keepLines/>
              <w:jc w:val="center"/>
              <w:rPr>
                <w:b/>
                <w:bCs/>
                <w:color w:val="000000"/>
                <w:sz w:val="22"/>
                <w:szCs w:val="22"/>
              </w:rPr>
            </w:pPr>
            <w:r>
              <w:rPr>
                <w:b/>
                <w:bCs/>
                <w:color w:val="000000"/>
                <w:sz w:val="22"/>
                <w:szCs w:val="22"/>
              </w:rPr>
              <w:t>Party A</w:t>
            </w:r>
          </w:p>
          <w:p>
            <w:pPr>
              <w:pStyle w:val="Normal"/>
              <w:keepNext w:val="true"/>
              <w:keepLines/>
              <w:jc w:val="center"/>
              <w:rPr>
                <w:b/>
                <w:bCs/>
                <w:color w:val="000000"/>
                <w:sz w:val="22"/>
                <w:szCs w:val="22"/>
              </w:rPr>
            </w:pPr>
            <w:r>
              <w:rPr>
                <w:b/>
                <w:bCs/>
                <w:color w:val="000000"/>
                <w:sz w:val="22"/>
                <w:szCs w:val="22"/>
              </w:rPr>
            </w:r>
          </w:p>
        </w:tc>
        <w:tc>
          <w:tcPr>
            <w:tcW w:w="1644"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B</w:t>
            </w:r>
          </w:p>
          <w:p>
            <w:pPr>
              <w:pStyle w:val="Normal"/>
              <w:keepNext w:val="true"/>
              <w:keepLines/>
              <w:jc w:val="center"/>
              <w:rPr>
                <w:b/>
                <w:bCs/>
                <w:color w:val="000000"/>
                <w:sz w:val="22"/>
                <w:szCs w:val="22"/>
              </w:rPr>
            </w:pPr>
            <w:r>
              <w:rPr>
                <w:b/>
                <w:bCs/>
                <w:color w:val="000000"/>
                <w:sz w:val="22"/>
                <w:szCs w:val="22"/>
              </w:rPr>
            </w:r>
          </w:p>
        </w:tc>
        <w:tc>
          <w:tcPr>
            <w:tcW w:w="3757" w:type="dxa"/>
            <w:tcBorders/>
          </w:tcPr>
          <w:p>
            <w:pPr>
              <w:pStyle w:val="Normal"/>
              <w:keepNext w:val="true"/>
              <w:keepLines/>
              <w:jc w:val="center"/>
              <w:rPr>
                <w:b/>
                <w:bCs/>
                <w:color w:val="000000"/>
                <w:sz w:val="22"/>
                <w:szCs w:val="22"/>
              </w:rPr>
            </w:pPr>
            <w:r>
              <w:rPr>
                <w:b/>
                <w:bCs/>
                <w:color w:val="000000"/>
                <w:sz w:val="22"/>
                <w:szCs w:val="22"/>
              </w:rPr>
              <w:t>Valuation</w:t>
            </w:r>
          </w:p>
          <w:p>
            <w:pPr>
              <w:pStyle w:val="Normal"/>
              <w:keepNext w:val="true"/>
              <w:keepLines/>
              <w:jc w:val="center"/>
              <w:rPr>
                <w:b/>
                <w:bCs/>
                <w:color w:val="000000"/>
                <w:sz w:val="22"/>
                <w:szCs w:val="22"/>
              </w:rPr>
            </w:pPr>
            <w:r>
              <w:rPr>
                <w:b/>
                <w:bCs/>
                <w:color w:val="000000"/>
                <w:sz w:val="22"/>
                <w:szCs w:val="22"/>
              </w:rPr>
              <w:t>Percentage</w:t>
            </w:r>
          </w:p>
          <w:p>
            <w:pPr>
              <w:pStyle w:val="Normal"/>
              <w:keepNext w:val="true"/>
              <w:keepLines/>
              <w:jc w:val="center"/>
              <w:rPr>
                <w:b/>
                <w:bCs/>
                <w:color w:val="000000"/>
                <w:sz w:val="22"/>
                <w:szCs w:val="22"/>
              </w:rPr>
            </w:pPr>
            <w:r>
              <w:rPr>
                <w:b/>
                <w:bCs/>
                <w:color w:val="000000"/>
                <w:sz w:val="22"/>
                <w:szCs w:val="22"/>
              </w:rPr>
            </w:r>
          </w:p>
        </w:tc>
      </w:tr>
      <w:tr>
        <w:trPr/>
        <w:tc>
          <w:tcPr>
            <w:tcW w:w="1800" w:type="dxa"/>
            <w:tcBorders/>
          </w:tcPr>
          <w:p>
            <w:pPr>
              <w:pStyle w:val="Normal"/>
              <w:keepNext w:val="true"/>
              <w:keepLines/>
              <w:jc w:val="both"/>
              <w:rPr>
                <w:color w:val="000000"/>
                <w:sz w:val="22"/>
                <w:szCs w:val="22"/>
              </w:rPr>
            </w:pPr>
            <w:r>
              <w:rPr>
                <w:color w:val="000000"/>
                <w:sz w:val="22"/>
                <w:szCs w:val="22"/>
              </w:rPr>
              <w:t>Letters of Credit</w:t>
            </w:r>
          </w:p>
        </w:tc>
        <w:tc>
          <w:tcPr>
            <w:tcW w:w="1440" w:type="dxa"/>
            <w:tcBorders/>
          </w:tcPr>
          <w:p>
            <w:pPr>
              <w:pStyle w:val="Normal"/>
              <w:keepNext w:val="true"/>
              <w:keepLines/>
              <w:jc w:val="center"/>
              <w:rPr>
                <w:color w:val="000000"/>
                <w:sz w:val="22"/>
                <w:szCs w:val="22"/>
              </w:rPr>
            </w:pPr>
            <w:r>
              <w:rPr>
                <w:color w:val="000000"/>
                <w:sz w:val="22"/>
                <w:szCs w:val="22"/>
              </w:rPr>
              <w:t>[X]</w:t>
            </w:r>
          </w:p>
        </w:tc>
        <w:tc>
          <w:tcPr>
            <w:tcW w:w="1644" w:type="dxa"/>
            <w:tcBorders/>
          </w:tcPr>
          <w:p>
            <w:pPr>
              <w:pStyle w:val="Normal"/>
              <w:keepNext w:val="true"/>
              <w:keepLines/>
              <w:jc w:val="center"/>
              <w:rPr>
                <w:color w:val="000000"/>
                <w:sz w:val="22"/>
                <w:szCs w:val="22"/>
              </w:rPr>
            </w:pPr>
            <w:r>
              <w:rPr>
                <w:color w:val="000000"/>
                <w:sz w:val="22"/>
                <w:szCs w:val="22"/>
              </w:rPr>
              <w:t>[  ]</w:t>
            </w:r>
          </w:p>
        </w:tc>
        <w:tc>
          <w:tcPr>
            <w:tcW w:w="3757" w:type="dxa"/>
            <w:tcBorders/>
          </w:tcPr>
          <w:p>
            <w:pPr>
              <w:pStyle w:val="Normal"/>
              <w:keepNext w:val="true"/>
              <w:keepLines/>
              <w:rPr>
                <w:color w:val="000000"/>
                <w:sz w:val="22"/>
                <w:szCs w:val="22"/>
              </w:rPr>
            </w:pPr>
            <w:r>
              <w:rPr>
                <w:color w:val="000000"/>
                <w:sz w:val="22"/>
                <w:szCs w:val="22"/>
              </w:rPr>
              <w:t xml:space="preserve">100% </w:t>
            </w:r>
            <w:r>
              <w:rPr>
                <w:sz w:val="22"/>
                <w:szCs w:val="22"/>
              </w:rPr>
              <w:t>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(iv)  </w:t>
      </w:r>
      <w:r>
        <w:rPr>
          <w:b/>
          <w:bCs/>
          <w:color w:val="000000"/>
          <w:sz w:val="22"/>
          <w:szCs w:val="22"/>
        </w:rPr>
        <w:t>Thresholds.</w:t>
      </w:r>
    </w:p>
    <w:p>
      <w:pPr>
        <w:pStyle w:val="Normal"/>
        <w:ind w:hanging="720" w:start="1440" w:end="0"/>
        <w:jc w:val="both"/>
        <w:rPr>
          <w:b/>
          <w:bCs/>
          <w:color w:val="000000"/>
          <w:sz w:val="22"/>
          <w:szCs w:val="22"/>
        </w:rPr>
      </w:pPr>
      <w:r>
        <w:rPr>
          <w:b/>
          <w:bCs/>
          <w:color w:val="000000"/>
          <w:sz w:val="22"/>
          <w:szCs w:val="22"/>
        </w:rPr>
      </w:r>
    </w:p>
    <w:p>
      <w:pPr>
        <w:pStyle w:val="Normal"/>
        <w:ind w:start="720" w:end="0"/>
        <w:jc w:val="both"/>
        <w:rPr/>
      </w:pPr>
      <w:r>
        <w:rPr>
          <w:color w:val="000000"/>
          <w:sz w:val="22"/>
          <w:szCs w:val="22"/>
        </w:rPr>
        <w:t xml:space="preserve">(A)  </w:t>
      </w:r>
      <w:r>
        <w:rPr>
          <w:b/>
          <w:bCs/>
          <w:color w:val="000000"/>
          <w:sz w:val="22"/>
          <w:szCs w:val="22"/>
        </w:rPr>
        <w:t>“Independent Amount”</w:t>
      </w:r>
      <w:r>
        <w:rPr>
          <w:color w:val="000000"/>
          <w:sz w:val="22"/>
          <w:szCs w:val="22"/>
        </w:rPr>
        <w:t xml:space="preserve"> means with respect to a party, the amount specified as such for that party in each Confirmation, or if no amount is specified, zero.</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(B)  </w:t>
      </w:r>
      <w:r>
        <w:rPr>
          <w:b/>
          <w:bCs/>
          <w:color w:val="000000"/>
          <w:sz w:val="22"/>
          <w:szCs w:val="22"/>
        </w:rPr>
        <w:t>“Threshold”</w:t>
      </w:r>
      <w:r>
        <w:rPr>
          <w:color w:val="000000"/>
          <w:sz w:val="22"/>
          <w:szCs w:val="22"/>
        </w:rPr>
        <w:t xml:space="preserve"> means with respect to Party A, C$75,000,000; provided, however, that the Threshold for Party A shall be zero upon the occurrence and during the continuance of a Material Adverse Change or an Event of Default or Potential Event of Default with respect to such party.</w:t>
      </w:r>
    </w:p>
    <w:p>
      <w:pPr>
        <w:pStyle w:val="Normal"/>
        <w:ind w:hanging="720" w:start="216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(C)  </w:t>
      </w:r>
      <w:r>
        <w:rPr>
          <w:b/>
          <w:bCs/>
          <w:color w:val="000000"/>
          <w:sz w:val="22"/>
          <w:szCs w:val="22"/>
        </w:rPr>
        <w:t>“Minimum Transfer Amount”</w:t>
      </w:r>
      <w:r>
        <w:rPr>
          <w:color w:val="000000"/>
          <w:sz w:val="22"/>
          <w:szCs w:val="22"/>
        </w:rPr>
        <w:t xml:space="preserve"> means with respect to Party A:  C$0.</w:t>
      </w:r>
    </w:p>
    <w:p>
      <w:pPr>
        <w:pStyle w:val="Normal"/>
        <w:ind w:start="720" w:end="0"/>
        <w:jc w:val="both"/>
        <w:rPr>
          <w:color w:val="000000"/>
          <w:sz w:val="22"/>
          <w:szCs w:val="22"/>
        </w:rPr>
      </w:pPr>
      <w:r>
        <w:rPr>
          <w:color w:val="000000"/>
          <w:sz w:val="22"/>
          <w:szCs w:val="22"/>
        </w:rPr>
      </w:r>
    </w:p>
    <w:p>
      <w:pPr>
        <w:pStyle w:val="Normal"/>
        <w:ind w:firstLine="360" w:start="720" w:end="0"/>
        <w:jc w:val="both"/>
        <w:rPr/>
      </w:pPr>
      <w:r>
        <w:rPr>
          <w:b/>
          <w:bCs/>
          <w:color w:val="000000"/>
          <w:sz w:val="22"/>
          <w:szCs w:val="22"/>
        </w:rPr>
        <w:t>“</w:t>
      </w:r>
      <w:r>
        <w:rPr>
          <w:b/>
          <w:bCs/>
          <w:color w:val="000000"/>
          <w:sz w:val="22"/>
          <w:szCs w:val="22"/>
        </w:rPr>
        <w:t>Minimum Transfer Amount”</w:t>
      </w:r>
      <w:r>
        <w:rPr>
          <w:color w:val="000000"/>
          <w:sz w:val="22"/>
          <w:szCs w:val="22"/>
        </w:rPr>
        <w:t xml:space="preserve"> means with respect to Party B:  C$0.</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(D)  </w:t>
      </w:r>
      <w:r>
        <w:rPr>
          <w:b/>
          <w:bCs/>
          <w:color w:val="000000"/>
          <w:sz w:val="22"/>
          <w:szCs w:val="22"/>
        </w:rPr>
        <w:t>Rounding.</w:t>
      </w:r>
      <w:r>
        <w:rPr>
          <w:color w:val="000000"/>
          <w:sz w:val="22"/>
          <w:szCs w:val="22"/>
        </w:rPr>
        <w:t xml:space="preserve">  The Delivery Amount will be rounded up to the nearest integral multiple of C$250,000 and the Return Amount will be rounded down to the nearest integral multiple of C$250,000.</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(c)  </w:t>
      </w:r>
      <w:r>
        <w:rPr>
          <w:b/>
          <w:bCs/>
          <w:color w:val="000000"/>
          <w:sz w:val="22"/>
          <w:szCs w:val="22"/>
        </w:rPr>
        <w:t>Valuation and Timing.</w:t>
      </w:r>
    </w:p>
    <w:p>
      <w:pPr>
        <w:pStyle w:val="Normal"/>
        <w:spacing w:before="240" w:after="0"/>
        <w:ind w:start="720" w:end="0"/>
        <w:jc w:val="both"/>
        <w:rPr/>
      </w:pPr>
      <w:r>
        <w:rPr>
          <w:color w:val="000000"/>
          <w:sz w:val="22"/>
          <w:szCs w:val="22"/>
        </w:rPr>
        <w:t xml:space="preserve">(i)  </w:t>
      </w:r>
      <w:r>
        <w:rPr>
          <w:b/>
          <w:bCs/>
          <w:color w:val="000000"/>
          <w:sz w:val="22"/>
          <w:szCs w:val="22"/>
        </w:rPr>
        <w:t>“Valuation Agent”</w:t>
      </w:r>
      <w:r>
        <w:rPr>
          <w:color w:val="000000"/>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“Valuation Date”</w:t>
      </w:r>
      <w:r>
        <w:rPr>
          <w:color w:val="000000"/>
          <w:sz w:val="22"/>
          <w:szCs w:val="22"/>
        </w:rPr>
        <w:t xml:space="preserve"> means any Local Business Day.</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w:t>
      </w:r>
      <w:r>
        <w:rPr>
          <w:b/>
          <w:bCs/>
          <w:color w:val="000000"/>
          <w:sz w:val="22"/>
          <w:szCs w:val="22"/>
        </w:rPr>
        <w:t>“Valuation Time”</w:t>
      </w:r>
      <w:r>
        <w:rPr>
          <w:color w:val="000000"/>
          <w:sz w:val="22"/>
          <w:szCs w:val="22"/>
        </w:rPr>
        <w:t xml:space="preserve"> means:</w:t>
      </w:r>
    </w:p>
    <w:p>
      <w:pPr>
        <w:pStyle w:val="Normal"/>
        <w:ind w:hanging="720" w:start="1440" w:end="0"/>
        <w:jc w:val="both"/>
        <w:rPr>
          <w:color w:val="000000"/>
          <w:sz w:val="22"/>
          <w:szCs w:val="22"/>
        </w:rPr>
      </w:pPr>
      <w:r>
        <w:rPr>
          <w:color w:val="000000"/>
          <w:sz w:val="22"/>
          <w:szCs w:val="22"/>
        </w:rPr>
      </w:r>
    </w:p>
    <w:p>
      <w:pPr>
        <w:pStyle w:val="Normal"/>
        <w:ind w:hanging="360" w:start="1440" w:end="0"/>
        <w:jc w:val="both"/>
        <w:rPr>
          <w:color w:val="000000"/>
          <w:sz w:val="22"/>
          <w:szCs w:val="22"/>
        </w:rPr>
      </w:pPr>
      <w:r>
        <w:rPr>
          <w:color w:val="000000"/>
          <w:sz w:val="22"/>
          <w:szCs w:val="22"/>
        </w:rPr>
        <w:t>[  ]  the close of business in the city of the Valuation Agent on the Valuation Date or date of calculation, as applicable;</w:t>
      </w:r>
    </w:p>
    <w:p>
      <w:pPr>
        <w:pStyle w:val="Normal"/>
        <w:ind w:hanging="360" w:start="1440" w:end="0"/>
        <w:jc w:val="both"/>
        <w:rPr>
          <w:color w:val="000000"/>
          <w:sz w:val="22"/>
          <w:szCs w:val="22"/>
        </w:rPr>
      </w:pPr>
      <w:r>
        <w:rPr>
          <w:color w:val="000000"/>
          <w:sz w:val="22"/>
          <w:szCs w:val="22"/>
        </w:rPr>
      </w:r>
    </w:p>
    <w:p>
      <w:pPr>
        <w:pStyle w:val="Normal"/>
        <w:ind w:hanging="360" w:start="1440" w:end="0"/>
        <w:jc w:val="both"/>
        <w:rPr>
          <w:color w:val="000000"/>
          <w:sz w:val="22"/>
          <w:szCs w:val="22"/>
        </w:rPr>
      </w:pPr>
      <w:r>
        <w:rPr>
          <w:color w:val="000000"/>
          <w:sz w:val="22"/>
          <w:szCs w:val="22"/>
        </w:rPr>
        <w:t>[X]  the close of business in the city of the Valuation Agent on the Local Business Day before the Valuation Date or date of calculation, as applicable;</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provided that the calculations of Value and Exposure will be made as of approximately the same time on the same date.</w:t>
      </w:r>
    </w:p>
    <w:p>
      <w:pPr>
        <w:pStyle w:val="Normal"/>
        <w:ind w:start="360" w:end="0"/>
        <w:jc w:val="both"/>
        <w:rPr>
          <w:color w:val="000000"/>
          <w:sz w:val="22"/>
          <w:szCs w:val="22"/>
        </w:rPr>
      </w:pPr>
      <w:r>
        <w:rPr>
          <w:color w:val="000000"/>
          <w:sz w:val="22"/>
          <w:szCs w:val="22"/>
        </w:rPr>
      </w:r>
    </w:p>
    <w:p>
      <w:pPr>
        <w:pStyle w:val="Normal"/>
        <w:ind w:start="720" w:end="0"/>
        <w:jc w:val="both"/>
        <w:rPr/>
      </w:pPr>
      <w:r>
        <w:rPr>
          <w:color w:val="000000"/>
          <w:sz w:val="22"/>
          <w:szCs w:val="22"/>
        </w:rPr>
        <w:t>(iv)  “</w:t>
      </w:r>
      <w:r>
        <w:rPr>
          <w:b/>
          <w:bCs/>
          <w:color w:val="000000"/>
          <w:sz w:val="22"/>
          <w:szCs w:val="22"/>
        </w:rPr>
        <w:t>Notification Time”</w:t>
      </w:r>
      <w:r>
        <w:rPr>
          <w:color w:val="000000"/>
          <w:sz w:val="22"/>
          <w:szCs w:val="22"/>
        </w:rPr>
        <w:t xml:space="preserve"> means 10:00 a.m., New York time, on a Local Business Day:</w:t>
      </w:r>
    </w:p>
    <w:p>
      <w:pPr>
        <w:pStyle w:val="Normal"/>
        <w:ind w:hanging="720" w:start="720" w:end="0"/>
        <w:jc w:val="both"/>
        <w:rPr>
          <w:color w:val="000000"/>
          <w:sz w:val="22"/>
          <w:szCs w:val="22"/>
        </w:rPr>
      </w:pPr>
      <w:r>
        <w:rPr>
          <w:color w:val="000000"/>
          <w:sz w:val="22"/>
          <w:szCs w:val="22"/>
        </w:rPr>
      </w:r>
    </w:p>
    <w:p>
      <w:pPr>
        <w:pStyle w:val="Normal"/>
        <w:ind w:hanging="720" w:start="720" w:end="0"/>
        <w:jc w:val="both"/>
        <w:rPr/>
      </w:pPr>
      <w:r>
        <w:rPr>
          <w:color w:val="000000"/>
          <w:sz w:val="22"/>
          <w:szCs w:val="22"/>
        </w:rPr>
        <w:t>(d)</w:t>
        <w:tab/>
      </w:r>
      <w:r>
        <w:rPr>
          <w:b/>
          <w:bCs/>
          <w:color w:val="000000"/>
          <w:sz w:val="22"/>
          <w:szCs w:val="22"/>
        </w:rPr>
        <w:t>Conditions Precedent and Secured Party’s Rights and Remedies.</w:t>
      </w:r>
      <w:r>
        <w:rPr>
          <w:color w:val="000000"/>
          <w:sz w:val="22"/>
          <w:szCs w:val="22"/>
        </w:rPr>
        <w:t xml:space="preserve">  The following Termination Event(s) will be a </w:t>
      </w:r>
      <w:r>
        <w:rPr>
          <w:b/>
          <w:bCs/>
          <w:color w:val="000000"/>
          <w:sz w:val="22"/>
          <w:szCs w:val="22"/>
        </w:rPr>
        <w:t>“Specified Condition”</w:t>
      </w:r>
      <w:r>
        <w:rPr>
          <w:color w:val="000000"/>
          <w:sz w:val="22"/>
          <w:szCs w:val="22"/>
        </w:rPr>
        <w:t xml:space="preserve"> for the party specified (that party being the Affected Party if the Termination Event occurs with respect to that party):</w:t>
      </w:r>
    </w:p>
    <w:p>
      <w:pPr>
        <w:pStyle w:val="Normal"/>
        <w:ind w:start="2160" w:end="0"/>
        <w:jc w:val="both"/>
        <w:rPr>
          <w:color w:val="000000"/>
          <w:sz w:val="22"/>
          <w:szCs w:val="22"/>
        </w:rPr>
      </w:pPr>
      <w:r>
        <w:rPr>
          <w:color w:val="000000"/>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color w:val="000000"/>
                <w:sz w:val="22"/>
                <w:szCs w:val="22"/>
              </w:rPr>
            </w:pPr>
            <w:r>
              <w:rPr>
                <w:b/>
                <w:bCs/>
                <w:color w:val="000000"/>
                <w:sz w:val="22"/>
                <w:szCs w:val="22"/>
              </w:rPr>
              <w:t>Specified Condition</w:t>
            </w:r>
          </w:p>
        </w:tc>
        <w:tc>
          <w:tcPr>
            <w:tcW w:w="1280" w:type="dxa"/>
            <w:tcBorders/>
          </w:tcPr>
          <w:p>
            <w:pPr>
              <w:pStyle w:val="Normal"/>
              <w:jc w:val="center"/>
              <w:rPr>
                <w:b/>
                <w:bCs/>
                <w:color w:val="000000"/>
                <w:sz w:val="22"/>
                <w:szCs w:val="22"/>
              </w:rPr>
            </w:pPr>
            <w:r>
              <w:rPr>
                <w:b/>
                <w:bCs/>
                <w:color w:val="000000"/>
                <w:sz w:val="22"/>
                <w:szCs w:val="22"/>
              </w:rPr>
              <w:t>Party A</w:t>
            </w:r>
          </w:p>
        </w:tc>
        <w:tc>
          <w:tcPr>
            <w:tcW w:w="1280" w:type="dxa"/>
            <w:tcBorders/>
          </w:tcPr>
          <w:p>
            <w:pPr>
              <w:pStyle w:val="Normal"/>
              <w:jc w:val="center"/>
              <w:rPr>
                <w:b/>
                <w:bCs/>
                <w:color w:val="000000"/>
                <w:sz w:val="22"/>
                <w:szCs w:val="22"/>
              </w:rPr>
            </w:pPr>
            <w:r>
              <w:rPr>
                <w:b/>
                <w:bCs/>
                <w:color w:val="000000"/>
                <w:sz w:val="22"/>
                <w:szCs w:val="22"/>
              </w:rPr>
              <w:t>Party B</w:t>
            </w:r>
          </w:p>
          <w:p>
            <w:pPr>
              <w:pStyle w:val="Normal"/>
              <w:jc w:val="center"/>
              <w:rPr>
                <w:b/>
                <w:bCs/>
                <w:color w:val="000000"/>
                <w:sz w:val="22"/>
                <w:szCs w:val="22"/>
              </w:rPr>
            </w:pPr>
            <w:r>
              <w:rPr>
                <w:b/>
                <w:bCs/>
                <w:color w:val="000000"/>
                <w:sz w:val="22"/>
                <w:szCs w:val="22"/>
              </w:rPr>
            </w:r>
          </w:p>
        </w:tc>
      </w:tr>
      <w:tr>
        <w:trPr/>
        <w:tc>
          <w:tcPr>
            <w:tcW w:w="3600" w:type="dxa"/>
            <w:tcBorders/>
          </w:tcPr>
          <w:p>
            <w:pPr>
              <w:pStyle w:val="Normal"/>
              <w:ind w:start="-18" w:end="0"/>
              <w:rPr>
                <w:color w:val="000000"/>
                <w:sz w:val="22"/>
                <w:szCs w:val="22"/>
              </w:rPr>
            </w:pPr>
            <w:r>
              <w:rPr>
                <w:color w:val="000000"/>
                <w:sz w:val="22"/>
                <w:szCs w:val="22"/>
              </w:rPr>
              <w:t>Illegality</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Tax Event</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Tax Event Upon Merger</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Credit Event Upon Merger</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Additional Termination Event(s):</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None</w:t>
            </w:r>
          </w:p>
        </w:tc>
        <w:tc>
          <w:tcPr>
            <w:tcW w:w="1280" w:type="dxa"/>
            <w:tcBorders/>
          </w:tcPr>
          <w:p>
            <w:pPr>
              <w:pStyle w:val="Normal"/>
              <w:jc w:val="center"/>
              <w:rPr>
                <w:color w:val="000000"/>
                <w:sz w:val="22"/>
                <w:szCs w:val="22"/>
                <w:vertAlign w:val="superscript"/>
              </w:rPr>
            </w:pPr>
            <w:r>
              <w:rPr>
                <w:color w:val="000000"/>
                <w:sz w:val="22"/>
                <w:szCs w:val="22"/>
              </w:rPr>
              <w:t>None</w:t>
            </w:r>
          </w:p>
        </w:tc>
      </w:tr>
    </w:tbl>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(e)  </w:t>
      </w:r>
      <w:r>
        <w:rPr>
          <w:b/>
          <w:bCs/>
          <w:color w:val="000000"/>
          <w:sz w:val="22"/>
          <w:szCs w:val="22"/>
        </w:rPr>
        <w:t>Substitution.</w:t>
      </w:r>
    </w:p>
    <w:p>
      <w:pPr>
        <w:pStyle w:val="Normal"/>
        <w:ind w:hanging="720" w:start="720" w:end="0"/>
        <w:jc w:val="both"/>
        <w:rPr>
          <w:color w:val="000000"/>
          <w:sz w:val="22"/>
          <w:szCs w:val="22"/>
        </w:rPr>
      </w:pPr>
      <w:r>
        <w:rPr>
          <w:color w:val="000000"/>
          <w:sz w:val="22"/>
          <w:szCs w:val="22"/>
        </w:rPr>
      </w:r>
    </w:p>
    <w:p>
      <w:pPr>
        <w:pStyle w:val="Normal"/>
        <w:ind w:hanging="720" w:start="1440" w:end="0"/>
        <w:jc w:val="both"/>
        <w:rPr/>
      </w:pPr>
      <w:r>
        <w:rPr>
          <w:color w:val="000000"/>
          <w:sz w:val="22"/>
          <w:szCs w:val="22"/>
        </w:rPr>
        <w:t xml:space="preserve">(i)  </w:t>
      </w:r>
      <w:r>
        <w:rPr>
          <w:b/>
          <w:bCs/>
          <w:color w:val="000000"/>
          <w:sz w:val="22"/>
          <w:szCs w:val="22"/>
        </w:rPr>
        <w:t>“Substitution Date”</w:t>
      </w:r>
      <w:r>
        <w:rPr>
          <w:color w:val="000000"/>
          <w:sz w:val="22"/>
          <w:szCs w:val="22"/>
        </w:rPr>
        <w:t xml:space="preserve"> has the meaning specified in Paragraph 4(d)(ii).</w:t>
      </w:r>
    </w:p>
    <w:p>
      <w:pPr>
        <w:pStyle w:val="Normal"/>
        <w:ind w:hanging="720"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Consent.</w:t>
      </w:r>
      <w:r>
        <w:rPr>
          <w:color w:val="000000"/>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(f)  </w:t>
      </w:r>
      <w:r>
        <w:rPr>
          <w:b/>
          <w:bCs/>
          <w:color w:val="000000"/>
          <w:sz w:val="22"/>
          <w:szCs w:val="22"/>
        </w:rPr>
        <w:t>Dispute Resolution.</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“Resolution Time”</w:t>
      </w:r>
      <w:r>
        <w:rPr>
          <w:color w:val="000000"/>
          <w:sz w:val="22"/>
          <w:szCs w:val="22"/>
        </w:rPr>
        <w:t xml:space="preserve"> means 1:00 p.m., New York time, on the third Local Business Day following the date on which notice of the dispute is given under Paragraph 5.</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Value.</w:t>
      </w:r>
      <w:r>
        <w:rPr>
          <w:color w:val="000000"/>
          <w:sz w:val="22"/>
          <w:szCs w:val="22"/>
        </w:rPr>
        <w:t xml:space="preserve">  For the purpose of Paragraphs 5(i)(C) and 5(ii), the Value of Posted Credit Support as of the relevant calculation date will be calculated as follows:</w:t>
      </w:r>
    </w:p>
    <w:p>
      <w:pPr>
        <w:pStyle w:val="Normal"/>
        <w:ind w:start="72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(1)  With respect to cash, the face amount thereof; and</w:t>
      </w:r>
    </w:p>
    <w:p>
      <w:pPr>
        <w:pStyle w:val="Normal"/>
        <w:ind w:start="1080" w:end="0"/>
        <w:jc w:val="both"/>
        <w:rPr>
          <w:color w:val="000000"/>
          <w:sz w:val="22"/>
          <w:szCs w:val="22"/>
        </w:rPr>
      </w:pPr>
      <w:r>
        <w:rPr>
          <w:color w:val="000000"/>
          <w:sz w:val="22"/>
          <w:szCs w:val="22"/>
        </w:rPr>
      </w:r>
    </w:p>
    <w:p>
      <w:pPr>
        <w:pStyle w:val="Normal"/>
        <w:numPr>
          <w:ilvl w:val="0"/>
          <w:numId w:val="5"/>
        </w:numPr>
        <w:jc w:val="both"/>
        <w:rPr>
          <w:color w:val="000000"/>
          <w:sz w:val="22"/>
          <w:szCs w:val="22"/>
        </w:rPr>
      </w:pPr>
      <w:r>
        <w:rPr>
          <w:color w:val="000000"/>
          <w:sz w:val="22"/>
          <w:szCs w:val="22"/>
        </w:rPr>
        <w:t xml:space="preserve">With respect to any Government Obligations, the sum of (A)(x) the mean of the high bid and low asked prices quoted on such date by two principal market makers of recognized national standing (each a </w:t>
      </w:r>
      <w:r>
        <w:rPr>
          <w:b/>
          <w:bCs/>
          <w:color w:val="000000"/>
          <w:sz w:val="22"/>
          <w:szCs w:val="22"/>
        </w:rPr>
        <w:t>“Principal Market Maker”</w:t>
      </w:r>
      <w:r>
        <w:rPr>
          <w:color w:val="000000"/>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w:t>
      </w:r>
      <w:r>
        <w:rPr>
          <w:b/>
          <w:bCs/>
          <w:color w:val="000000"/>
          <w:sz w:val="22"/>
          <w:szCs w:val="22"/>
        </w:rPr>
        <w:t>Alternative:</w:t>
      </w:r>
      <w:r>
        <w:rPr>
          <w:color w:val="000000"/>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(g)</w:t>
        <w:tab/>
      </w:r>
      <w:r>
        <w:rPr>
          <w:b/>
          <w:bCs/>
          <w:color w:val="000000"/>
          <w:sz w:val="22"/>
          <w:szCs w:val="22"/>
        </w:rPr>
        <w:t>Holding and Using Posted Collateral.</w:t>
      </w:r>
    </w:p>
    <w:p>
      <w:pPr>
        <w:pStyle w:val="Normal"/>
        <w:keepNext w:val="true"/>
        <w:ind w:hanging="720" w:start="720" w:end="0"/>
        <w:jc w:val="both"/>
        <w:rPr>
          <w:color w:val="000000"/>
          <w:sz w:val="22"/>
          <w:szCs w:val="22"/>
        </w:rPr>
      </w:pPr>
      <w:r>
        <w:rPr>
          <w:color w:val="000000"/>
          <w:sz w:val="22"/>
          <w:szCs w:val="22"/>
        </w:rPr>
      </w:r>
    </w:p>
    <w:p>
      <w:pPr>
        <w:pStyle w:val="Normal"/>
        <w:keepNext w:val="true"/>
        <w:ind w:start="720" w:end="0"/>
        <w:jc w:val="both"/>
        <w:rPr/>
      </w:pPr>
      <w:r>
        <w:rPr>
          <w:color w:val="000000"/>
          <w:sz w:val="22"/>
          <w:szCs w:val="22"/>
        </w:rPr>
        <w:t xml:space="preserve">(i)  </w:t>
      </w:r>
      <w:r>
        <w:rPr>
          <w:b/>
          <w:bCs/>
          <w:color w:val="000000"/>
          <w:sz w:val="22"/>
          <w:szCs w:val="22"/>
        </w:rPr>
        <w:t>Eligibility to Hold Posted Collateral; Custodians.</w:t>
      </w:r>
      <w:r>
        <w:rPr>
          <w:color w:val="000000"/>
          <w:sz w:val="22"/>
          <w:szCs w:val="22"/>
        </w:rPr>
        <w:t xml:space="preserve">  Party A and its Custodian will be entitled to hold Posted Collateral pursuant to Paragraph 6(b);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xml:space="preserve"> the following conditions applicable to it are satisfied:</w:t>
      </w:r>
    </w:p>
    <w:p>
      <w:pPr>
        <w:pStyle w:val="Normal"/>
        <w:ind w:start="900" w:end="0"/>
        <w:jc w:val="both"/>
        <w:rPr>
          <w:color w:val="000000"/>
          <w:sz w:val="22"/>
          <w:szCs w:val="22"/>
        </w:rPr>
      </w:pPr>
      <w:r>
        <w:rPr>
          <w:color w:val="000000"/>
          <w:sz w:val="22"/>
          <w:szCs w:val="22"/>
        </w:rPr>
      </w:r>
    </w:p>
    <w:p>
      <w:pPr>
        <w:pStyle w:val="Normal"/>
        <w:ind w:start="1080" w:end="0"/>
        <w:jc w:val="both"/>
        <w:rPr/>
      </w:pPr>
      <w:r>
        <w:rPr>
          <w:color w:val="000000"/>
          <w:sz w:val="22"/>
          <w:szCs w:val="22"/>
        </w:rPr>
        <w:t>(1) Party A is not a Defaulting Party and Party A’s Credit Support Provider has a Credit Rating from S&amp;P or Moody’s and the lowest Credit Rating for Party A’s Credit Support Provider is “BBB-” or higher by S&amp;P</w:t>
      </w:r>
      <w:r>
        <w:rPr>
          <w:sz w:val="22"/>
          <w:szCs w:val="22"/>
        </w:rPr>
        <w:t xml:space="preserve"> or “Baa3” or higher by Moody’s</w:t>
      </w:r>
      <w:r>
        <w:rPr>
          <w:color w:val="000000"/>
          <w:sz w:val="22"/>
          <w:szCs w:val="22"/>
        </w:rPr>
        <w:t>.</w:t>
      </w:r>
    </w:p>
    <w:p>
      <w:pPr>
        <w:pStyle w:val="BodyTextIndent"/>
        <w:spacing w:lineRule="auto" w:line="240"/>
        <w:ind w:start="1080" w:end="0"/>
        <w:rPr>
          <w:color w:val="000000"/>
        </w:rPr>
      </w:pPr>
      <w:r>
        <w:rPr>
          <w:color w:val="000000"/>
        </w:rPr>
        <w:t>(2) Posted Collateral may be held only in the following jurisdictions:  Any jurisdiction within the United States or Canada.</w:t>
      </w:r>
    </w:p>
    <w:p>
      <w:pPr>
        <w:pStyle w:val="BodyTextIndent"/>
        <w:spacing w:lineRule="auto" w:line="240"/>
        <w:ind w:start="1080" w:end="0"/>
        <w:rPr>
          <w:color w:val="000000"/>
        </w:rPr>
      </w:pPr>
      <w:r>
        <w:rPr>
          <w:color w:val="000000"/>
        </w:rPr>
        <w:t>(3) 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Party B and its Custodian will be entitled to hold Posted Collateral pursuant to Paragraph 6(b); </w:t>
      </w:r>
      <w:r>
        <w:rPr>
          <w:color w:val="000000"/>
          <w:sz w:val="22"/>
          <w:szCs w:val="22"/>
          <w:u w:val="single"/>
        </w:rPr>
        <w:t>provided that</w:t>
      </w:r>
      <w:r>
        <w:rPr>
          <w:color w:val="000000"/>
          <w:sz w:val="22"/>
          <w:szCs w:val="22"/>
        </w:rPr>
        <w:t xml:space="preserve"> the following conditions applicable to it are satisfied:</w:t>
      </w:r>
    </w:p>
    <w:p>
      <w:pPr>
        <w:pStyle w:val="Normal"/>
        <w:ind w:hanging="720" w:start="216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(1) Party B is not a Defaulting Party and it has a Credit Rating from S&amp;P or Moody’s and the lowest Credit Rating for it is “BBB-” or higher by S&amp;P or “Baa3” or higher by Moody’s.</w:t>
      </w:r>
    </w:p>
    <w:p>
      <w:pPr>
        <w:pStyle w:val="Normal"/>
        <w:ind w:start="108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(2) Posted Collateral may be held only in the following jurisdictions:  Any jurisdiction in the United States or Canada.</w:t>
      </w:r>
    </w:p>
    <w:p>
      <w:pPr>
        <w:pStyle w:val="BodyTextIndent"/>
        <w:spacing w:lineRule="auto" w:line="240"/>
        <w:ind w:start="1080" w:end="0"/>
        <w:rPr>
          <w:color w:val="000000"/>
        </w:rPr>
      </w:pPr>
      <w:r>
        <w:rPr>
          <w:color w:val="000000"/>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00"/>
          <w:sz w:val="22"/>
          <w:szCs w:val="22"/>
        </w:rPr>
      </w:pPr>
      <w:r>
        <w:rPr>
          <w:color w:val="000000"/>
          <w:sz w:val="22"/>
          <w:szCs w:val="22"/>
        </w:rPr>
      </w:r>
    </w:p>
    <w:p>
      <w:pPr>
        <w:pStyle w:val="BodyTextIndent3"/>
        <w:rPr>
          <w:color w:val="000000"/>
        </w:rPr>
      </w:pPr>
      <w:r>
        <w:rPr>
          <w:color w:val="000000"/>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 xml:space="preserve">(ii)  </w:t>
      </w:r>
      <w:r>
        <w:rPr>
          <w:b/>
          <w:bCs/>
          <w:color w:val="000000"/>
          <w:sz w:val="22"/>
          <w:szCs w:val="22"/>
        </w:rPr>
        <w:t>Use of Posted Collateral.</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The provisions of Paragraph 6(c) will apply to the parties;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xml:space="preserve">, that if a party or its Custodian is not eligible to hold Posted Collateral pursuant to Paragraph 13(g)(i) the event that caused it or its Custodian, if any, to be ineligible to hold Posted Collateral shall be a </w:t>
      </w:r>
      <w:r>
        <w:rPr>
          <w:b/>
          <w:bCs/>
          <w:color w:val="000000"/>
          <w:sz w:val="22"/>
          <w:szCs w:val="22"/>
        </w:rPr>
        <w:t>“Credit Rating Event”</w:t>
      </w:r>
      <w:r>
        <w:rPr>
          <w:color w:val="000000"/>
          <w:sz w:val="22"/>
          <w:szCs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ind w:hanging="720" w:start="2160" w:end="0"/>
        <w:jc w:val="both"/>
        <w:rPr>
          <w:color w:val="000000"/>
          <w:sz w:val="22"/>
          <w:szCs w:val="22"/>
        </w:rPr>
      </w:pPr>
      <w:r>
        <w:rPr>
          <w:color w:val="000000"/>
          <w:sz w:val="22"/>
          <w:szCs w:val="22"/>
        </w:rPr>
      </w:r>
    </w:p>
    <w:p>
      <w:pPr>
        <w:pStyle w:val="Normal"/>
        <w:ind w:start="1440" w:end="0"/>
        <w:jc w:val="both"/>
        <w:rPr>
          <w:color w:val="000000"/>
          <w:sz w:val="22"/>
          <w:szCs w:val="22"/>
        </w:rPr>
      </w:pPr>
      <w:r>
        <w:rPr>
          <w:color w:val="000000"/>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color w:val="000000"/>
          <w:sz w:val="22"/>
          <w:szCs w:val="22"/>
        </w:rPr>
      </w:pPr>
      <w:r>
        <w:rPr>
          <w:color w:val="000000"/>
          <w:sz w:val="22"/>
          <w:szCs w:val="22"/>
        </w:rPr>
      </w:r>
    </w:p>
    <w:p>
      <w:pPr>
        <w:pStyle w:val="Normal"/>
        <w:ind w:start="1440" w:end="0"/>
        <w:jc w:val="both"/>
        <w:rPr/>
      </w:pPr>
      <w:r>
        <w:rPr>
          <w:color w:val="000000"/>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color w:val="000000"/>
          <w:sz w:val="22"/>
          <w:szCs w:val="22"/>
        </w:rPr>
        <w:t>“Qualified Institution”</w:t>
      </w:r>
      <w:r>
        <w:rPr>
          <w:color w:val="000000"/>
          <w:sz w:val="22"/>
          <w:szCs w:val="22"/>
        </w:rPr>
        <w:t>), approved by the non-Downgraded Party (which approval shall not be unreasonably withheld) to a segregated, safekeeping or custody account (</w:t>
      </w:r>
      <w:r>
        <w:rPr>
          <w:b/>
          <w:bCs/>
          <w:color w:val="000000"/>
          <w:sz w:val="22"/>
          <w:szCs w:val="22"/>
        </w:rPr>
        <w:t>“Collateral Account”</w:t>
      </w:r>
      <w:r>
        <w:rPr>
          <w:color w:val="000000"/>
          <w:sz w:val="22"/>
          <w:szCs w:val="22"/>
        </w:rPr>
        <w:t>) within such Qualified Institution with the title of the Collateral Account indicating that the property contained therein is being held as Posted Collateral for the Downgraded Party; provided</w:t>
      </w:r>
      <w:r>
        <w:rPr>
          <w:color w:val="000000"/>
          <w:sz w:val="22"/>
          <w:szCs w:val="22"/>
          <w:u w:val="single"/>
        </w:rPr>
        <w:t>, that</w:t>
      </w:r>
      <w:r>
        <w:rPr>
          <w:color w:val="000000"/>
          <w:sz w:val="22"/>
          <w:szCs w:val="22"/>
        </w:rPr>
        <w:t>, if the Credit Rating Event occurs with respect to a party’s Custodian that is holding Posted Collateral on behalf of such party, then such Downgraded Custodian may also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color w:val="000000"/>
          <w:sz w:val="22"/>
          <w:szCs w:val="22"/>
        </w:rPr>
      </w:pPr>
      <w:r>
        <w:rPr>
          <w:color w:val="000000"/>
          <w:sz w:val="22"/>
          <w:szCs w:val="22"/>
        </w:rPr>
      </w:r>
    </w:p>
    <w:p>
      <w:pPr>
        <w:pStyle w:val="Normal"/>
        <w:ind w:start="1440" w:end="0"/>
        <w:jc w:val="both"/>
        <w:rPr>
          <w:color w:val="000000"/>
          <w:sz w:val="22"/>
          <w:szCs w:val="22"/>
        </w:rPr>
      </w:pPr>
      <w:r>
        <w:rPr>
          <w:color w:val="000000"/>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(h)</w:t>
        <w:tab/>
      </w:r>
      <w:r>
        <w:rPr>
          <w:b/>
          <w:bCs/>
          <w:color w:val="000000"/>
          <w:sz w:val="22"/>
          <w:szCs w:val="22"/>
        </w:rPr>
        <w:t>Distributions and Interest Amount.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Interest Rate.</w:t>
      </w:r>
      <w:r>
        <w:rPr>
          <w:color w:val="000000"/>
          <w:sz w:val="22"/>
          <w:szCs w:val="22"/>
        </w:rPr>
        <w:t xml:space="preserve">  The </w:t>
      </w:r>
      <w:r>
        <w:rPr>
          <w:b/>
          <w:bCs/>
          <w:color w:val="000000"/>
          <w:sz w:val="22"/>
          <w:szCs w:val="22"/>
        </w:rPr>
        <w:t>“Interest Rate”</w:t>
      </w:r>
      <w:r>
        <w:rPr>
          <w:color w:val="000000"/>
          <w:sz w:val="22"/>
          <w:szCs w:val="22"/>
        </w:rPr>
        <w:t xml:space="preserve"> will be:  Federal Funds Effective Rate as from time to time in effect.</w:t>
      </w:r>
    </w:p>
    <w:p>
      <w:pPr>
        <w:pStyle w:val="Normal"/>
        <w:ind w:hanging="720"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Transfer of Interest Amount.</w:t>
      </w:r>
      <w:r>
        <w:rPr>
          <w:color w:val="000000"/>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(i)</w:t>
        <w:tab/>
      </w:r>
      <w:r>
        <w:rPr>
          <w:b/>
          <w:bCs/>
          <w:color w:val="000000"/>
          <w:sz w:val="22"/>
          <w:szCs w:val="22"/>
        </w:rPr>
        <w:t>Additional Representation(s) and Covenants.</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(j)</w:t>
        <w:tab/>
      </w:r>
      <w:r>
        <w:rPr>
          <w:b/>
          <w:bCs/>
          <w:color w:val="000000"/>
          <w:sz w:val="22"/>
          <w:szCs w:val="22"/>
        </w:rPr>
        <w:t>Other Eligible Support and Other Posted Support.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“Value”</w:t>
      </w:r>
      <w:r>
        <w:rPr>
          <w:color w:val="000000"/>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“Transfer”</w:t>
      </w:r>
      <w:r>
        <w:rPr>
          <w:color w:val="000000"/>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All Other Eligible Support and Other Posted Support consisting of Letters of Credit shall be issued and maintained in accordance with the provisions set forth in </w:t>
      </w:r>
      <w:r>
        <w:rPr>
          <w:color w:val="000000"/>
          <w:sz w:val="22"/>
          <w:szCs w:val="22"/>
          <w:u w:val="single"/>
        </w:rPr>
        <w:t>Exhibit A</w:t>
      </w:r>
      <w:r>
        <w:rPr>
          <w:color w:val="000000"/>
          <w:sz w:val="22"/>
          <w:szCs w:val="22"/>
        </w:rPr>
        <w:t xml:space="preserve"> and </w:t>
      </w:r>
      <w:r>
        <w:rPr>
          <w:color w:val="000000"/>
          <w:sz w:val="22"/>
          <w:szCs w:val="22"/>
          <w:u w:val="single"/>
        </w:rPr>
        <w:t>Schedule 1</w:t>
      </w:r>
      <w:r>
        <w:rPr>
          <w:color w:val="000000"/>
          <w:sz w:val="22"/>
          <w:szCs w:val="22"/>
        </w:rPr>
        <w:t xml:space="preserve"> attached hereto.</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(k)</w:t>
        <w:tab/>
      </w:r>
      <w:r>
        <w:rPr>
          <w:b/>
          <w:bCs/>
          <w:color w:val="000000"/>
          <w:sz w:val="22"/>
          <w:szCs w:val="22"/>
        </w:rPr>
        <w:t>Demands and Notices.</w:t>
      </w:r>
    </w:p>
    <w:p>
      <w:pPr>
        <w:pStyle w:val="Normal"/>
        <w:keepNext w:val="true"/>
        <w:jc w:val="both"/>
        <w:rPr>
          <w:color w:val="000000"/>
          <w:sz w:val="22"/>
          <w:szCs w:val="22"/>
        </w:rPr>
      </w:pPr>
      <w:r>
        <w:rPr>
          <w:color w:val="000000"/>
          <w:sz w:val="22"/>
          <w:szCs w:val="22"/>
        </w:rPr>
      </w:r>
    </w:p>
    <w:p>
      <w:pPr>
        <w:pStyle w:val="Normal"/>
        <w:keepNext w:val="true"/>
        <w:jc w:val="both"/>
        <w:rPr>
          <w:color w:val="000000"/>
          <w:sz w:val="22"/>
          <w:szCs w:val="22"/>
        </w:rPr>
      </w:pPr>
      <w:r>
        <w:rPr>
          <w:color w:val="000000"/>
          <w:sz w:val="22"/>
          <w:szCs w:val="22"/>
        </w:rPr>
        <w:t>All demands, specifications, and notices under this Annex will be made pursuant to the Notices Section of this Agreement.</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(l)</w:t>
        <w:tab/>
      </w:r>
      <w:r>
        <w:rPr>
          <w:b/>
          <w:bCs/>
          <w:color w:val="000000"/>
          <w:sz w:val="22"/>
          <w:szCs w:val="22"/>
        </w:rPr>
        <w:t>Addresses for Transfers.</w:t>
      </w:r>
    </w:p>
    <w:p>
      <w:pPr>
        <w:pStyle w:val="Normal"/>
        <w:keepNext w:val="true"/>
        <w:ind w:start="720" w:end="0"/>
        <w:jc w:val="both"/>
        <w:rPr>
          <w:color w:val="000000"/>
          <w:sz w:val="22"/>
          <w:szCs w:val="22"/>
        </w:rPr>
      </w:pPr>
      <w:r>
        <w:rPr>
          <w:color w:val="000000"/>
          <w:sz w:val="22"/>
          <w:szCs w:val="22"/>
        </w:rPr>
      </w:r>
    </w:p>
    <w:p>
      <w:pPr>
        <w:pStyle w:val="Normal"/>
        <w:keepNext w:val="true"/>
        <w:ind w:hanging="1080" w:start="1800" w:end="0"/>
        <w:jc w:val="both"/>
        <w:rPr>
          <w:color w:val="000000"/>
          <w:sz w:val="22"/>
          <w:szCs w:val="22"/>
        </w:rPr>
      </w:pPr>
      <w:r>
        <w:rPr>
          <w:color w:val="000000"/>
          <w:sz w:val="22"/>
          <w:szCs w:val="22"/>
        </w:rPr>
        <w:t>Party A:     To be provided in notice requesting delivery/return of Eligible Credit Support/Posted Credit Support.</w:t>
      </w:r>
    </w:p>
    <w:p>
      <w:pPr>
        <w:pStyle w:val="Normal"/>
        <w:keepNext w:val="true"/>
        <w:ind w:start="720" w:end="0"/>
        <w:jc w:val="both"/>
        <w:rPr>
          <w:color w:val="000000"/>
          <w:sz w:val="22"/>
          <w:szCs w:val="22"/>
        </w:rPr>
      </w:pPr>
      <w:r>
        <w:rPr>
          <w:color w:val="000000"/>
          <w:sz w:val="22"/>
          <w:szCs w:val="22"/>
        </w:rPr>
      </w:r>
    </w:p>
    <w:p>
      <w:pPr>
        <w:pStyle w:val="Normal"/>
        <w:keepNext w:val="true"/>
        <w:ind w:hanging="1080" w:start="1800" w:end="0"/>
        <w:jc w:val="both"/>
        <w:rPr>
          <w:color w:val="000000"/>
          <w:sz w:val="22"/>
          <w:szCs w:val="22"/>
        </w:rPr>
      </w:pPr>
      <w:r>
        <w:rPr>
          <w:color w:val="000000"/>
          <w:sz w:val="22"/>
          <w:szCs w:val="22"/>
        </w:rPr>
        <w:t>Party B:      To be provided in notice requesting delivery/return of Eligible Credit Support/Posted Credit Support.</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(m)</w:t>
        <w:tab/>
      </w:r>
      <w:r>
        <w:rPr>
          <w:b/>
          <w:bCs/>
          <w:color w:val="000000"/>
          <w:sz w:val="22"/>
          <w:szCs w:val="22"/>
        </w:rPr>
        <w:t>Other Provisions.</w:t>
      </w:r>
    </w:p>
    <w:p>
      <w:pPr>
        <w:pStyle w:val="Normal"/>
        <w:keepNext w:val="true"/>
        <w:ind w:hanging="720" w:start="1440" w:end="0"/>
        <w:jc w:val="both"/>
        <w:rPr>
          <w:color w:val="000000"/>
          <w:sz w:val="22"/>
          <w:szCs w:val="22"/>
        </w:rPr>
      </w:pPr>
      <w:r>
        <w:rPr>
          <w:color w:val="000000"/>
          <w:sz w:val="22"/>
          <w:szCs w:val="22"/>
        </w:rPr>
      </w:r>
    </w:p>
    <w:p>
      <w:pPr>
        <w:pStyle w:val="Normal"/>
        <w:keepNext w:val="true"/>
        <w:ind w:hanging="720" w:start="1440" w:end="0"/>
        <w:jc w:val="both"/>
        <w:rPr>
          <w:color w:val="000000"/>
          <w:sz w:val="22"/>
          <w:szCs w:val="22"/>
        </w:rPr>
      </w:pPr>
      <w:r>
        <w:rPr>
          <w:color w:val="000000"/>
          <w:sz w:val="22"/>
          <w:szCs w:val="22"/>
        </w:rPr>
        <w:t>(i)  Paragraph 12 of this Annex is hereby amended by adding the following:</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Credit Rating”</w:t>
      </w:r>
      <w:r>
        <w:rPr>
          <w:color w:val="000000"/>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Federal Funds Effective Rate”</w:t>
      </w:r>
      <w:r>
        <w:rPr>
          <w:color w:val="000000"/>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Letter of Credit”</w:t>
      </w:r>
      <w:r>
        <w:rPr>
          <w:color w:val="000000"/>
          <w:sz w:val="22"/>
          <w:szCs w:val="22"/>
        </w:rPr>
        <w:t xml:space="preserve"> means an irrevocable, transferable, standby letter of credit, issued by a major U.S. or Canadian commercial bank or foreign bank with a U.S. or Canadian branch office with a Credit Rating of at least “A-” by S&amp;P and “A3” by Moody’s, utilizing the form set forth in </w:t>
      </w:r>
      <w:r>
        <w:rPr>
          <w:color w:val="000000"/>
          <w:sz w:val="22"/>
          <w:szCs w:val="22"/>
          <w:u w:val="single"/>
        </w:rPr>
        <w:t>Schedule 1</w:t>
      </w:r>
      <w:r>
        <w:rPr>
          <w:color w:val="000000"/>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Material Adverse Change”</w:t>
      </w:r>
      <w:r>
        <w:rPr>
          <w:color w:val="000000"/>
          <w:sz w:val="22"/>
          <w:szCs w:val="22"/>
        </w:rPr>
        <w:t xml:space="preserve"> means (a) with respect to Party A, its Credit Support Provider’s Credit Rating is below “BBB-” by S&amp;P or below “Baa3” by Moody’s or its Credit Support Provider fails to have a Credit Rating from S&amp;P or Moody’s; or (b) with respect to Party B, its Credit Rating is below “BBB-” by S&amp;P or below “Baa3” by Moody’s or it fails to have a Credit Rating from S&amp;P or Moody’s.</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Moody’s”</w:t>
      </w:r>
      <w:r>
        <w:rPr>
          <w:color w:val="000000"/>
          <w:sz w:val="22"/>
          <w:szCs w:val="22"/>
        </w:rPr>
        <w:t xml:space="preserve"> means Moody’s Investors Service, Inc. or its successor.</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S&amp;P”</w:t>
      </w:r>
      <w:r>
        <w:rPr>
          <w:color w:val="000000"/>
          <w:sz w:val="22"/>
          <w:szCs w:val="22"/>
        </w:rPr>
        <w:t xml:space="preserve"> means the Standard &amp; Poor's Rating Group (a division of McGraw-Hill, Inc.) or its successor.</w:t>
      </w:r>
    </w:p>
    <w:p>
      <w:pPr>
        <w:pStyle w:val="Normal"/>
        <w:ind w:hanging="720"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  Paragraph 6(d)(i) is hereby amended by adding the following sentence:</w:t>
      </w:r>
    </w:p>
    <w:p>
      <w:pPr>
        <w:pStyle w:val="Normal"/>
        <w:ind w:hanging="720" w:start="720" w:end="0"/>
        <w:jc w:val="both"/>
        <w:rPr>
          <w:color w:val="000000"/>
          <w:sz w:val="22"/>
          <w:szCs w:val="22"/>
        </w:rPr>
      </w:pPr>
      <w:r>
        <w:rPr>
          <w:color w:val="000000"/>
          <w:sz w:val="22"/>
          <w:szCs w:val="22"/>
        </w:rPr>
      </w:r>
    </w:p>
    <w:p>
      <w:pPr>
        <w:pStyle w:val="BodyTextIndent3"/>
        <w:rPr>
          <w:color w:val="000000"/>
        </w:rPr>
      </w:pPr>
      <w:r>
        <w:rPr>
          <w:color w:val="000000"/>
        </w:rPr>
        <w:t>“</w:t>
      </w:r>
      <w:r>
        <w:rPr>
          <w:color w:val="000000"/>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(iii)  Paragraph 7(i) is hereby amended by deleting the words “Eligible Collateral” and replacing them with the words “Eligible Credit Support.”</w:t>
      </w:r>
    </w:p>
    <w:p>
      <w:pPr>
        <w:pStyle w:val="Normal"/>
        <w:ind w:start="720" w:end="0"/>
        <w:jc w:val="both"/>
        <w:rPr>
          <w:i/>
          <w:i/>
          <w:iCs/>
          <w:color w:val="000000"/>
          <w:sz w:val="22"/>
          <w:szCs w:val="22"/>
        </w:rPr>
      </w:pPr>
      <w:r>
        <w:rPr>
          <w:i/>
          <w:iCs/>
          <w:color w:val="000000"/>
          <w:sz w:val="22"/>
          <w:szCs w:val="22"/>
        </w:rPr>
      </w:r>
    </w:p>
    <w:p>
      <w:pPr>
        <w:pStyle w:val="Normal"/>
        <w:ind w:start="720" w:end="0"/>
        <w:jc w:val="both"/>
        <w:rPr/>
      </w:pPr>
      <w:r>
        <w:rPr>
          <w:color w:val="000000"/>
          <w:sz w:val="22"/>
          <w:szCs w:val="22"/>
        </w:rPr>
        <w:t xml:space="preserve">(iv)  </w:t>
      </w:r>
      <w:r>
        <w:rPr>
          <w:b/>
          <w:bCs/>
          <w:color w:val="000000"/>
          <w:sz w:val="22"/>
          <w:szCs w:val="22"/>
        </w:rPr>
        <w:t>Relationship With Respect To Cash Collateral.</w:t>
      </w:r>
      <w:r>
        <w:rPr>
          <w:color w:val="000000"/>
          <w:sz w:val="22"/>
          <w:szCs w:val="22"/>
        </w:rPr>
        <w:t xml:space="preserve">  Notwithstanding Paragraph 2, the parties agree that, with respect to Posted Collateral in the form of Cash, the relationship between the Pledgor and the Secured Party is a relationship of creditor and debtor respectively and that all right, title and interest in any Posted Collateral in the form of Cash is transferred absolutely by the Pledgor to the Secured Party.  For greater certainty, no security interest in Posted Collateral in the form of Cash is intended to be created by this Agreement.  The Pledgor is entitled to the repayment of the amount of any Posted Collateral in the form of Cash only as provided in this Annex.  Although no security interest is created in any Posted Collateral in the form of Cash, each party hereby pledges to the other party, as the Secured Party, as security for its Obligations, and grants to the Secured Party a first priority continuing security interest in, lien on and right of Set-off against the obligation of the Secured Party to repay the amount of Posted Collateral in the form of Cash.  The Secured Party’s repayment obligation shall not be included in determining the value of Posted Collateral, although the value of any Posted Collateral in the form of Cash shall be included in determining such value.</w:t>
      </w:r>
      <w:r>
        <w:br w:type="page"/>
      </w:r>
    </w:p>
    <w:p>
      <w:pPr>
        <w:pStyle w:val="Normal"/>
        <w:ind w:start="720" w:end="0"/>
        <w:jc w:val="both"/>
        <w:rPr>
          <w:color w:val="000000"/>
          <w:sz w:val="22"/>
          <w:szCs w:val="22"/>
        </w:rPr>
      </w:pPr>
      <w:r>
        <w:rPr>
          <w:color w:val="000000"/>
          <w:sz w:val="22"/>
          <w:szCs w:val="22"/>
        </w:rPr>
      </w:r>
    </w:p>
    <w:p>
      <w:pPr>
        <w:pStyle w:val="Normal"/>
        <w:tabs>
          <w:tab w:val="left" w:pos="-303" w:leader="none"/>
          <w:tab w:val="left" w:pos="720" w:leader="none"/>
          <w:tab w:val="left" w:pos="1440" w:leader="none"/>
          <w:tab w:val="left" w:pos="2160" w:leader="none"/>
          <w:tab w:val="left" w:pos="2389" w:leader="none"/>
          <w:tab w:val="left" w:pos="3015" w:leader="none"/>
          <w:tab w:val="left" w:pos="3780" w:leader="none"/>
          <w:tab w:val="left" w:pos="6565" w:leader="none"/>
          <w:tab w:val="left" w:pos="6840" w:leader="none"/>
          <w:tab w:val="left" w:pos="8028" w:leader="none"/>
          <w:tab w:val="left" w:pos="8280" w:leader="none"/>
        </w:tabs>
        <w:ind w:start="720" w:end="0"/>
        <w:jc w:val="both"/>
        <w:rPr/>
      </w:pPr>
      <w:r>
        <w:rPr>
          <w:bCs/>
          <w:sz w:val="22"/>
          <w:lang w:val="en-GB"/>
        </w:rPr>
        <w:t>(v)</w:t>
        <w:tab/>
      </w:r>
      <w:r>
        <w:rPr>
          <w:b/>
          <w:sz w:val="22"/>
          <w:lang w:val="en-GB"/>
        </w:rPr>
        <w:t>Agreement as to Single Secured Party and Pledgor.</w:t>
      </w:r>
      <w:r>
        <w:rPr>
          <w:sz w:val="22"/>
          <w:lang w:val="en-GB"/>
        </w:rPr>
        <w:t xml:space="preserve">  Party A and Party B agree that, notwithstanding anything to the contrary in the recital to this Annex, Paragraph 1(b) or Paragraph 2 or the definitions in Paragraph 12,</w:t>
      </w:r>
    </w:p>
    <w:p>
      <w:pPr>
        <w:pStyle w:val="Normal"/>
        <w:tabs>
          <w:tab w:val="left" w:pos="-1023" w:leader="none"/>
          <w:tab w:val="left" w:pos="-720" w:leader="none"/>
          <w:tab w:val="left" w:pos="720" w:leader="none"/>
          <w:tab w:val="left" w:pos="1440" w:leader="none"/>
          <w:tab w:val="left" w:pos="1669" w:leader="none"/>
          <w:tab w:val="left" w:pos="2295" w:leader="none"/>
          <w:tab w:val="left" w:pos="3060" w:leader="none"/>
          <w:tab w:val="left" w:pos="5845" w:leader="none"/>
          <w:tab w:val="left" w:pos="6120" w:leader="none"/>
          <w:tab w:val="left" w:pos="7308" w:leader="none"/>
          <w:tab w:val="left" w:pos="7560" w:leader="none"/>
          <w:tab w:val="left" w:pos="8760" w:leader="none"/>
        </w:tabs>
        <w:ind w:start="720" w:end="0"/>
        <w:jc w:val="both"/>
        <w:rPr>
          <w:sz w:val="22"/>
          <w:lang w:val="en-GB"/>
        </w:rPr>
      </w:pPr>
      <w:r>
        <w:rPr>
          <w:sz w:val="22"/>
          <w:lang w:val="en-GB"/>
        </w:rPr>
      </w:r>
    </w:p>
    <w:p>
      <w:pPr>
        <w:pStyle w:val="Normal"/>
        <w:tabs>
          <w:tab w:val="left" w:pos="-1023" w:leader="none"/>
          <w:tab w:val="left" w:pos="-720" w:leader="none"/>
          <w:tab w:val="left" w:pos="720" w:leader="none"/>
          <w:tab w:val="left" w:pos="1440" w:leader="none"/>
          <w:tab w:val="left" w:pos="1669" w:leader="none"/>
          <w:tab w:val="left" w:pos="2160" w:leader="none"/>
          <w:tab w:val="left" w:pos="3060" w:leader="none"/>
          <w:tab w:val="left" w:pos="5845" w:leader="none"/>
          <w:tab w:val="left" w:pos="6120" w:leader="none"/>
          <w:tab w:val="left" w:pos="7308" w:leader="none"/>
          <w:tab w:val="left" w:pos="7560" w:leader="none"/>
          <w:tab w:val="left" w:pos="8760" w:leader="none"/>
        </w:tabs>
        <w:ind w:start="720" w:end="0"/>
        <w:jc w:val="both"/>
        <w:rPr>
          <w:sz w:val="22"/>
          <w:lang w:val="en-GB"/>
        </w:rPr>
      </w:pPr>
      <w:r>
        <w:rPr>
          <w:sz w:val="22"/>
          <w:lang w:val="en-GB"/>
        </w:rPr>
        <w:t>(a)</w:t>
        <w:tab/>
        <w:t>the term Secured Party as used in this Annex means only Party A,</w:t>
      </w:r>
    </w:p>
    <w:p>
      <w:pPr>
        <w:pStyle w:val="Normal"/>
        <w:tabs>
          <w:tab w:val="left" w:pos="-1023" w:leader="none"/>
          <w:tab w:val="left" w:pos="-720" w:leader="none"/>
          <w:tab w:val="left" w:pos="720" w:leader="none"/>
          <w:tab w:val="left" w:pos="1440" w:leader="none"/>
          <w:tab w:val="left" w:pos="1669" w:leader="none"/>
          <w:tab w:val="left" w:pos="2295" w:leader="none"/>
          <w:tab w:val="left" w:pos="3060" w:leader="none"/>
          <w:tab w:val="left" w:pos="5845" w:leader="none"/>
          <w:tab w:val="left" w:pos="6120" w:leader="none"/>
          <w:tab w:val="left" w:pos="7308" w:leader="none"/>
          <w:tab w:val="left" w:pos="7560" w:leader="none"/>
          <w:tab w:val="left" w:pos="8760" w:leader="none"/>
        </w:tabs>
        <w:ind w:start="720" w:end="0"/>
        <w:jc w:val="both"/>
        <w:rPr>
          <w:sz w:val="22"/>
          <w:lang w:val="en-GB"/>
        </w:rPr>
      </w:pPr>
      <w:r>
        <w:rPr>
          <w:sz w:val="22"/>
          <w:lang w:val="en-GB"/>
        </w:rPr>
      </w:r>
    </w:p>
    <w:p>
      <w:pPr>
        <w:pStyle w:val="Normal"/>
        <w:tabs>
          <w:tab w:val="left" w:pos="-1023" w:leader="none"/>
          <w:tab w:val="left" w:pos="-720" w:leader="none"/>
          <w:tab w:val="left" w:pos="720" w:leader="none"/>
          <w:tab w:val="left" w:pos="1440" w:leader="none"/>
          <w:tab w:val="left" w:pos="1669" w:leader="none"/>
          <w:tab w:val="left" w:pos="2160" w:leader="none"/>
          <w:tab w:val="left" w:pos="3060" w:leader="none"/>
          <w:tab w:val="left" w:pos="5845" w:leader="none"/>
          <w:tab w:val="left" w:pos="6120" w:leader="none"/>
          <w:tab w:val="left" w:pos="7308" w:leader="none"/>
          <w:tab w:val="left" w:pos="7560" w:leader="none"/>
          <w:tab w:val="left" w:pos="8760" w:leader="none"/>
        </w:tabs>
        <w:ind w:start="720" w:end="0"/>
        <w:jc w:val="both"/>
        <w:rPr>
          <w:sz w:val="22"/>
          <w:lang w:val="en-GB"/>
        </w:rPr>
      </w:pPr>
      <w:r>
        <w:rPr>
          <w:sz w:val="22"/>
          <w:lang w:val="en-GB"/>
        </w:rPr>
        <w:t>(b)</w:t>
        <w:tab/>
        <w:t>the term “Pledgor” as used in this Annex means only Party B,</w:t>
      </w:r>
    </w:p>
    <w:p>
      <w:pPr>
        <w:pStyle w:val="BodyTextIndent"/>
        <w:tabs>
          <w:tab w:val="clear" w:pos="720"/>
          <w:tab w:val="left" w:pos="-1023" w:leader="none"/>
          <w:tab w:val="left" w:pos="90" w:leader="none"/>
          <w:tab w:val="left" w:pos="1440" w:leader="none"/>
          <w:tab w:val="left" w:pos="3060" w:leader="none"/>
          <w:tab w:val="left" w:pos="6120" w:leader="none"/>
          <w:tab w:val="left" w:pos="7560" w:leader="none"/>
          <w:tab w:val="left" w:pos="8760" w:leader="none"/>
        </w:tabs>
        <w:ind w:hanging="720" w:start="1440" w:end="0"/>
        <w:rPr/>
      </w:pPr>
      <w:r>
        <w:rPr/>
        <w:t>(c)</w:t>
        <w:tab/>
        <w:t>only Party B makes the pledge and grant in Paragraph 2, the acknowledgement in the final sentence of Paragraph 8(a) and the representations in Paragraph 9, and</w:t>
      </w:r>
    </w:p>
    <w:p>
      <w:pPr>
        <w:pStyle w:val="BodyTextIndent"/>
        <w:numPr>
          <w:ilvl w:val="0"/>
          <w:numId w:val="3"/>
        </w:numPr>
        <w:tabs>
          <w:tab w:val="clear" w:pos="720"/>
          <w:tab w:val="left" w:pos="-1023" w:leader="none"/>
          <w:tab w:val="left" w:pos="90" w:leader="none"/>
          <w:tab w:val="left" w:pos="1440" w:leader="none"/>
          <w:tab w:val="left" w:pos="3060" w:leader="none"/>
          <w:tab w:val="left" w:pos="6120" w:leader="none"/>
          <w:tab w:val="left" w:pos="7560" w:leader="none"/>
          <w:tab w:val="left" w:pos="8760" w:leader="none"/>
        </w:tabs>
        <w:ind w:hanging="0" w:start="720" w:end="0"/>
        <w:rPr/>
      </w:pPr>
      <w:r>
        <w:rPr/>
        <w:t>only Party B will be required to make Transfers of Eligible Credit Support hereunder.</w:t>
      </w:r>
    </w:p>
    <w:p>
      <w:pPr>
        <w:sectPr>
          <w:footerReference w:type="default" r:id="rId3"/>
          <w:footerReference w:type="first" r:id="rId4"/>
          <w:type w:val="nextPage"/>
          <w:pgSz w:w="12240" w:h="15840"/>
          <w:pgMar w:left="1080" w:right="1080" w:gutter="0" w:header="0" w:top="1440" w:footer="720" w:bottom="776"/>
          <w:pgNumType w:start="1" w:fmt="decimal"/>
          <w:formProt w:val="false"/>
          <w:textDirection w:val="lrTb"/>
          <w:docGrid w:type="default" w:linePitch="360" w:charSpace="0"/>
        </w:sectPr>
        <w:pStyle w:val="Normal"/>
        <w:ind w:start="720" w:end="0"/>
        <w:jc w:val="both"/>
        <w:rPr>
          <w:color w:val="000000"/>
          <w:sz w:val="22"/>
          <w:szCs w:val="22"/>
        </w:rPr>
      </w:pPr>
      <w:r>
        <w:rPr>
          <w:color w:val="000000"/>
          <w:sz w:val="22"/>
          <w:szCs w:val="22"/>
        </w:rPr>
      </w:r>
    </w:p>
    <w:p>
      <w:pPr>
        <w:pStyle w:val="Normal"/>
        <w:jc w:val="center"/>
        <w:rPr>
          <w:b/>
          <w:bCs/>
          <w:color w:val="000000"/>
          <w:sz w:val="22"/>
          <w:szCs w:val="22"/>
        </w:rPr>
      </w:pPr>
      <w:r>
        <w:rPr>
          <w:b/>
          <w:bCs/>
          <w:color w:val="000000"/>
          <w:sz w:val="22"/>
          <w:szCs w:val="22"/>
          <w:u w:val="single"/>
        </w:rPr>
        <w:t>EXHIBIT A</w:t>
      </w:r>
    </w:p>
    <w:p>
      <w:pPr>
        <w:pStyle w:val="Expanded"/>
        <w:spacing w:before="0" w:after="0"/>
        <w:rPr>
          <w:caps w:val="false"/>
          <w:smallCaps w:val="false"/>
          <w:color w:val="000000"/>
          <w:spacing w:val="0"/>
        </w:rPr>
      </w:pPr>
      <w:r>
        <w:rPr>
          <w:caps w:val="false"/>
          <w:smallCaps w:val="false"/>
          <w:color w:val="000000"/>
          <w:spacing w:val="0"/>
        </w:rPr>
        <w:t>to Paragraph 13</w:t>
      </w:r>
    </w:p>
    <w:p>
      <w:pPr>
        <w:pStyle w:val="Normal"/>
        <w:jc w:val="center"/>
        <w:rPr>
          <w:color w:val="000000"/>
          <w:sz w:val="22"/>
          <w:szCs w:val="22"/>
        </w:rPr>
      </w:pPr>
      <w:r>
        <w:rPr>
          <w:b/>
          <w:bCs/>
          <w:color w:val="000000"/>
          <w:sz w:val="22"/>
          <w:szCs w:val="22"/>
        </w:rPr>
        <w:t>of Annex A</w:t>
      </w:r>
    </w:p>
    <w:p>
      <w:pPr>
        <w:pStyle w:val="Normal"/>
        <w:jc w:val="center"/>
        <w:rPr>
          <w:color w:val="000000"/>
          <w:sz w:val="22"/>
          <w:szCs w:val="22"/>
        </w:rPr>
      </w:pPr>
      <w:r>
        <w:rPr>
          <w:color w:val="000000"/>
          <w:sz w:val="22"/>
          <w:szCs w:val="22"/>
        </w:rPr>
      </w:r>
    </w:p>
    <w:p>
      <w:pPr>
        <w:pStyle w:val="Normal"/>
        <w:jc w:val="center"/>
        <w:rPr>
          <w:color w:val="000000"/>
          <w:sz w:val="22"/>
          <w:szCs w:val="22"/>
        </w:rPr>
      </w:pPr>
      <w:r>
        <w:rPr>
          <w:b/>
          <w:bCs/>
          <w:color w:val="000000"/>
          <w:sz w:val="22"/>
          <w:szCs w:val="22"/>
        </w:rPr>
        <w:t>LETTER OF CREDIT PROVISIONS</w:t>
      </w:r>
    </w:p>
    <w:p>
      <w:pPr>
        <w:pStyle w:val="Normal"/>
        <w:jc w:val="both"/>
        <w:rPr>
          <w:color w:val="000000"/>
          <w:sz w:val="22"/>
          <w:szCs w:val="22"/>
        </w:rPr>
      </w:pPr>
      <w:r>
        <w:rPr>
          <w:color w:val="000000"/>
          <w:sz w:val="22"/>
          <w:szCs w:val="22"/>
        </w:rPr>
      </w:r>
    </w:p>
    <w:p>
      <w:pPr>
        <w:pStyle w:val="Normal"/>
        <w:jc w:val="both"/>
        <w:rPr/>
      </w:pPr>
      <w:r>
        <w:rPr>
          <w:color w:val="000000"/>
          <w:sz w:val="22"/>
          <w:szCs w:val="22"/>
        </w:rPr>
        <w:t xml:space="preserve">I.  </w:t>
      </w:r>
      <w:r>
        <w:rPr>
          <w:b/>
          <w:bCs/>
          <w:color w:val="000000"/>
          <w:sz w:val="22"/>
          <w:szCs w:val="22"/>
          <w:u w:val="single"/>
        </w:rPr>
        <w:t>Letters of Credit</w:t>
      </w:r>
      <w:r>
        <w:rPr>
          <w:color w:val="000000"/>
          <w:sz w:val="22"/>
          <w:szCs w:val="22"/>
        </w:rPr>
        <w:t>.  Posted Credit Support provided by one party (“X”) for the benefit of the other (“Y”) in the form of a Letter of Credit shall be subject to the following provisions.</w:t>
      </w:r>
    </w:p>
    <w:p>
      <w:pPr>
        <w:pStyle w:val="Normal"/>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color w:val="000000"/>
          <w:sz w:val="22"/>
          <w:szCs w:val="22"/>
        </w:rPr>
      </w:pPr>
      <w:r>
        <w:rPr>
          <w:color w:val="000000"/>
          <w:sz w:val="22"/>
          <w:szCs w:val="22"/>
        </w:rPr>
      </w:r>
    </w:p>
    <w:p>
      <w:pPr>
        <w:pStyle w:val="Normal"/>
        <w:ind w:start="180" w:end="0"/>
        <w:jc w:val="both"/>
        <w:rPr/>
      </w:pPr>
      <w:r>
        <w:rPr>
          <w:color w:val="000000"/>
          <w:sz w:val="22"/>
          <w:szCs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color w:val="000000"/>
          <w:sz w:val="22"/>
          <w:szCs w:val="22"/>
        </w:rPr>
        <w:t xml:space="preserve"> “</w:t>
      </w:r>
      <w:r>
        <w:rPr>
          <w:b/>
          <w:bCs/>
          <w:color w:val="000000"/>
          <w:sz w:val="22"/>
          <w:szCs w:val="22"/>
          <w:u w:val="single"/>
        </w:rPr>
        <w:t>Letter of Credit Default</w:t>
      </w:r>
      <w:r>
        <w:rPr>
          <w:b/>
          <w:bCs/>
          <w:color w:val="000000"/>
          <w:sz w:val="22"/>
          <w:szCs w:val="22"/>
        </w:rPr>
        <w:t>”</w:t>
      </w:r>
      <w:r>
        <w:rPr>
          <w:color w:val="000000"/>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color w:val="000000"/>
          <w:sz w:val="22"/>
          <w:szCs w:val="22"/>
          <w:u w:val="single"/>
        </w:rPr>
        <w:t>provided, however</w:t>
      </w:r>
      <w:r>
        <w:rPr>
          <w:color w:val="000000"/>
          <w:sz w:val="22"/>
          <w:szCs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(c)  As one method of providing additional Posted Credit Support, X may increase the amount of an outstanding Letter of Credit or establish one or more additional Letters of Credit.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start="54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color w:val="000000"/>
          <w:sz w:val="22"/>
          <w:szCs w:val="22"/>
        </w:rPr>
      </w:pPr>
      <w:r>
        <w:rPr>
          <w:color w:val="000000"/>
          <w:sz w:val="22"/>
          <w:szCs w:val="22"/>
        </w:rPr>
      </w:r>
    </w:p>
    <w:p>
      <w:pPr>
        <w:sectPr>
          <w:headerReference w:type="default" r:id="rId5"/>
          <w:footerReference w:type="default" r:id="rId6"/>
          <w:footerReference w:type="first" r:id="rId7"/>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color w:val="000000"/>
          <w:sz w:val="22"/>
          <w:szCs w:val="22"/>
        </w:rPr>
        <w:t xml:space="preserve">(g)  The provisions of this </w:t>
      </w:r>
      <w:r>
        <w:rPr>
          <w:color w:val="000000"/>
          <w:sz w:val="22"/>
          <w:szCs w:val="22"/>
          <w:u w:val="single"/>
        </w:rPr>
        <w:t>Exhibit A</w:t>
      </w:r>
      <w:r>
        <w:rPr>
          <w:color w:val="000000"/>
          <w:sz w:val="22"/>
          <w:szCs w:val="22"/>
        </w:rPr>
        <w:t xml:space="preserve"> shall constitute agreements for all purposes of this Agreement and this Annex, including Section 5(a)(iii) of this Agreement.</w:t>
      </w:r>
    </w:p>
    <w:p>
      <w:pPr>
        <w:pStyle w:val="Heading3"/>
        <w:ind w:start="0" w:end="0"/>
        <w:jc w:val="center"/>
        <w:rPr>
          <w:color w:val="000000"/>
        </w:rPr>
      </w:pPr>
      <w:r>
        <w:rPr>
          <w:color w:val="000000"/>
        </w:rPr>
        <w:t>SCHEDULE 1</w:t>
      </w:r>
    </w:p>
    <w:p>
      <w:pPr>
        <w:pStyle w:val="Normal"/>
        <w:spacing w:lineRule="exact" w:line="240"/>
        <w:jc w:val="center"/>
        <w:rPr>
          <w:color w:val="000000"/>
          <w:sz w:val="22"/>
          <w:szCs w:val="22"/>
        </w:rPr>
      </w:pPr>
      <w:r>
        <w:rPr>
          <w:color w:val="000000"/>
          <w:sz w:val="22"/>
          <w:szCs w:val="22"/>
        </w:rPr>
      </w:r>
    </w:p>
    <w:p>
      <w:pPr>
        <w:pStyle w:val="Normal"/>
        <w:spacing w:lineRule="exact" w:line="240"/>
        <w:jc w:val="center"/>
        <w:rPr>
          <w:color w:val="000000"/>
          <w:sz w:val="22"/>
          <w:szCs w:val="22"/>
        </w:rPr>
      </w:pPr>
      <w:r>
        <w:rPr>
          <w:color w:val="000000"/>
          <w:sz w:val="22"/>
          <w:szCs w:val="22"/>
        </w:rPr>
        <w:t>IRREVOCABLE TRANSFERABLE STANDBY LETTER OF CREDIT FORMAT</w:t>
      </w:r>
    </w:p>
    <w:p>
      <w:pPr>
        <w:pStyle w:val="Normal"/>
        <w:spacing w:lineRule="exact" w:line="240"/>
        <w:jc w:val="center"/>
        <w:rPr>
          <w:color w:val="000000"/>
          <w:sz w:val="22"/>
          <w:szCs w:val="22"/>
        </w:rPr>
      </w:pPr>
      <w:r>
        <w:rPr>
          <w:color w:val="000000"/>
          <w:sz w:val="22"/>
          <w:szCs w:val="22"/>
        </w:rPr>
        <w:t xml:space="preserve">DATE OF ISSUANCE:  </w:t>
      </w:r>
      <w:r>
        <w:rPr>
          <w:color w:val="000000"/>
          <w:sz w:val="22"/>
          <w:szCs w:val="22"/>
          <w:u w:val="single"/>
        </w:rPr>
        <w:tab/>
        <w:tab/>
        <w:tab/>
      </w:r>
    </w:p>
    <w:p>
      <w:pPr>
        <w:pStyle w:val="Normal"/>
        <w:spacing w:lineRule="exact" w:line="240"/>
        <w:rPr>
          <w:color w:val="000000"/>
          <w:sz w:val="22"/>
          <w:szCs w:val="22"/>
        </w:rPr>
      </w:pPr>
      <w:r>
        <w:rPr>
          <w:color w:val="000000"/>
          <w:sz w:val="22"/>
          <w:szCs w:val="22"/>
        </w:rPr>
        <w:t>[Address]</w:t>
      </w:r>
    </w:p>
    <w:p>
      <w:pPr>
        <w:pStyle w:val="Normal"/>
        <w:spacing w:lineRule="exact" w:line="240"/>
        <w:rPr>
          <w:color w:val="000000"/>
          <w:sz w:val="22"/>
          <w:szCs w:val="22"/>
        </w:rPr>
      </w:pPr>
      <w:r>
        <w:rPr>
          <w:color w:val="000000"/>
          <w:sz w:val="22"/>
          <w:szCs w:val="22"/>
        </w:rPr>
        <w:tab/>
        <w:t>Re:  Credit No. _______________</w:t>
      </w:r>
    </w:p>
    <w:p>
      <w:pPr>
        <w:pStyle w:val="Normal"/>
        <w:spacing w:lineRule="exact" w:line="240"/>
        <w:rPr>
          <w:color w:val="000000"/>
          <w:sz w:val="22"/>
          <w:szCs w:val="22"/>
        </w:rPr>
      </w:pPr>
      <w:r>
        <w:rPr>
          <w:color w:val="000000"/>
          <w:sz w:val="22"/>
          <w:szCs w:val="22"/>
        </w:rPr>
      </w:r>
    </w:p>
    <w:p>
      <w:pPr>
        <w:pStyle w:val="Normal"/>
        <w:spacing w:lineRule="exact" w:line="240"/>
        <w:jc w:val="both"/>
        <w:rPr/>
      </w:pPr>
      <w:r>
        <w:rPr>
          <w:color w:val="000000"/>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color w:val="000000"/>
          <w:sz w:val="22"/>
          <w:szCs w:val="22"/>
          <w:u w:val="single"/>
        </w:rPr>
        <w:t>Location</w:t>
      </w:r>
      <w:r>
        <w:rPr>
          <w:color w:val="000000"/>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color w:val="000000"/>
          <w:sz w:val="22"/>
          <w:szCs w:val="22"/>
        </w:rPr>
      </w:pPr>
      <w:r>
        <w:rPr>
          <w:color w:val="000000"/>
          <w:sz w:val="22"/>
          <w:szCs w:val="22"/>
        </w:rPr>
      </w:r>
    </w:p>
    <w:p>
      <w:pPr>
        <w:pStyle w:val="Normal"/>
        <w:numPr>
          <w:ilvl w:val="0"/>
          <w:numId w:val="4"/>
        </w:numPr>
        <w:spacing w:lineRule="exact" w:line="240"/>
        <w:jc w:val="both"/>
        <w:rPr>
          <w:color w:val="000000"/>
          <w:sz w:val="22"/>
          <w:szCs w:val="22"/>
        </w:rPr>
      </w:pPr>
      <w:r>
        <w:rPr>
          <w:color w:val="000000"/>
          <w:sz w:val="22"/>
          <w:szCs w:val="22"/>
        </w:rPr>
        <w:t>“</w:t>
      </w:r>
      <w:r>
        <w:rPr>
          <w:color w:val="000000"/>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Normal"/>
        <w:numPr>
          <w:ilvl w:val="0"/>
          <w:numId w:val="4"/>
        </w:numPr>
        <w:spacing w:lineRule="exact" w:line="240"/>
        <w:jc w:val="both"/>
        <w:rPr>
          <w:color w:val="000000"/>
          <w:sz w:val="22"/>
          <w:szCs w:val="22"/>
        </w:rPr>
      </w:pPr>
      <w:r>
        <w:rPr>
          <w:color w:val="000000"/>
          <w:sz w:val="22"/>
          <w:szCs w:val="22"/>
        </w:rPr>
        <w:t>“</w:t>
      </w:r>
      <w:r>
        <w:rPr>
          <w:color w:val="000000"/>
          <w:sz w:val="22"/>
          <w:szCs w:val="22"/>
        </w:rPr>
        <w:t>An Early Termination Date (as defined in the Master Agreement) has occurred as a result of a Termination Event (as defined in the Master Agreement) and Account Party has failed to make all payments due and owing to beneficiary in accordance with the terms of the Master Agreement.”</w:t>
      </w:r>
    </w:p>
    <w:p>
      <w:pPr>
        <w:pStyle w:val="Normal"/>
        <w:tabs>
          <w:tab w:val="left" w:pos="720" w:leader="none"/>
        </w:tabs>
        <w:spacing w:lineRule="exact" w:line="240"/>
        <w:ind w:hanging="1440" w:start="1440" w:end="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color w:val="000000"/>
          <w:sz w:val="22"/>
          <w:szCs w:val="22"/>
        </w:rPr>
      </w:pPr>
      <w:r>
        <w:rPr>
          <w:color w:val="000000"/>
          <w:sz w:val="22"/>
          <w:szCs w:val="22"/>
        </w:rPr>
      </w:r>
    </w:p>
    <w:p>
      <w:pPr>
        <w:pStyle w:val="BodyTextIndent"/>
        <w:ind w:start="0" w:end="0"/>
        <w:rPr>
          <w:color w:val="000000"/>
        </w:rPr>
      </w:pPr>
      <w:r>
        <w:rPr>
          <w:color w:val="000000"/>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color w:val="000000"/>
        </w:rPr>
      </w:pPr>
      <w:r>
        <w:rPr>
          <w:color w:val="000000"/>
        </w:rPr>
      </w:r>
    </w:p>
    <w:p>
      <w:pPr>
        <w:pStyle w:val="BodyText"/>
        <w:spacing w:lineRule="exact" w:line="240"/>
        <w:ind w:firstLine="720" w:end="0"/>
        <w:jc w:val="both"/>
        <w:rPr>
          <w:color w:val="000000"/>
        </w:rPr>
      </w:pPr>
      <w:r>
        <w:rPr>
          <w:color w:val="000000"/>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spacing w:lineRule="exact" w:line="240"/>
        <w:ind w:start="5040" w:end="0"/>
        <w:rPr>
          <w:color w:val="000000"/>
          <w:sz w:val="22"/>
          <w:szCs w:val="22"/>
        </w:rPr>
      </w:pPr>
      <w:r>
        <w:rPr>
          <w:color w:val="000000"/>
          <w:sz w:val="22"/>
          <w:szCs w:val="22"/>
        </w:rPr>
        <w:t>[BANK SIGNATURE]</w:t>
      </w:r>
    </w:p>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r>
    </w:p>
    <w:sectPr>
      <w:headerReference w:type="default" r:id="rId8"/>
      <w:headerReference w:type="first" r:id="rId9"/>
      <w:footerReference w:type="default" r:id="rId10"/>
      <w:footerReference w:type="first" r:id="rId11"/>
      <w:type w:val="nextPage"/>
      <w:pgSz w:w="12240" w:h="15840"/>
      <w:pgMar w:left="1440" w:right="1440" w:gutter="0" w:header="720" w:top="108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/mnt/main-storage/datasets/enron-docs/doc/792e__The_Royal_Bank__ctr.doc</w:t>
    </w:r>
    <w:r>
      <w:rPr>
        <w:rStyle w:val="PageNumber"/>
        <w:sz w:val="16"/>
        <w:szCs w:val="16"/>
      </w:rPr>
      <w:fldChar w:fldCharType="end"/>
    </w:r>
  </w:p>
  <w:p>
    <w:pPr>
      <w:pStyle w:val="Footer"/>
      <w:jc w:val="center"/>
      <w:rPr/>
    </w:pPr>
    <w:r>
      <w:rPr>
        <w:rStyle w:val="PageNumber"/>
        <w:szCs w:val="20"/>
      </w:rPr>
      <w:t xml:space="preserve">Page </w:t>
    </w: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szCs w:val="20"/>
      </w:rPr>
      <w:t>11</w:t>
    </w:r>
    <w:r>
      <w:rPr>
        <w:rStyle w:val="PageNumber"/>
        <w:szCs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/mnt/main-storage/datasets/enron-docs/doc/792e__The_Royal_Bank__ctr.doc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8</w:t>
    </w:r>
    <w:r>
      <w:rPr>
        <w:sz w:val="20"/>
        <w:szCs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/mnt/main-storage/datasets/enron-docs/doc/792e__The_Royal_Bank__ctr.doc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/mnt/main-storage/datasets/enron-docs/doc/792e__The_Royal_Bank__ctr.doc</w:t>
    </w:r>
    <w:r>
      <w:rPr>
        <w:sz w:val="16"/>
        <w:szCs w:val="16"/>
      </w:rPr>
      <w:fldChar w:fldCharType="end"/>
    </w:r>
  </w:p>
  <w:p>
    <w:pPr>
      <w:pStyle w:val="Footer"/>
      <w:rPr>
        <w:sz w:val="8"/>
        <w:szCs w:val="8"/>
      </w:rPr>
    </w:pPr>
    <w:r>
      <w:rPr>
        <w:sz w:val="8"/>
        <w:szCs w:val="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440"/>
        </w:tabs>
        <w:ind w:start="1440" w:hanging="720"/>
      </w:pPr>
      <w:rPr/>
    </w:lvl>
  </w:abstractNum>
  <w:abstractNum w:abstractNumId="3">
    <w:lvl w:ilvl="0">
      <w:start w:val="4"/>
      <w:numFmt w:val="lowerLetter"/>
      <w:lvlText w:val="(%1)"/>
      <w:lvlJc w:val="start"/>
      <w:pPr>
        <w:tabs>
          <w:tab w:val="num" w:pos="720"/>
        </w:tabs>
        <w:ind w:start="720" w:hanging="720"/>
      </w:pPr>
      <w:rPr/>
    </w:lvl>
  </w:abstractNum>
  <w:abstractNum w:abstractNumId="4">
    <w:lvl w:ilvl="0">
      <w:start w:val="1"/>
      <w:numFmt w:val="decimal"/>
      <w:lvlText w:val="%1."/>
      <w:lvlJc w:val="start"/>
      <w:pPr>
        <w:tabs>
          <w:tab w:val="num" w:pos="720"/>
        </w:tabs>
        <w:ind w:start="720" w:hanging="360"/>
      </w:pPr>
      <w:rPr/>
    </w:lvl>
  </w:abstractNum>
  <w:abstractNum w:abstractNumId="5">
    <w:lvl w:ilvl="0">
      <w:start w:val="2"/>
      <w:numFmt w:val="decimal"/>
      <w:lvlText w:val="(%1)"/>
      <w:lvlJc w:val="start"/>
      <w:pPr>
        <w:tabs>
          <w:tab w:val="num" w:pos="1455"/>
        </w:tabs>
        <w:ind w:start="1455" w:hanging="375"/>
      </w:pPr>
      <w:rPr/>
    </w:lvl>
  </w:abstractNum>
  <w:abstractNum w:abstractNumId="6">
    <w:lvl w:ilvl="0">
      <w:start w:val="9"/>
      <w:numFmt w:val="lowerRoman"/>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tyle>
  <w:style w:type="character" w:styleId="WW8Num16z0">
    <w:name w:val="WW8Num16z0"/>
    <w:qFormat/>
    <w:rPr>
      <w:sz w:val="22"/>
      <w:szCs w:val="22"/>
    </w:rPr>
  </w:style>
  <w:style w:type="character" w:styleId="WW8Num17z0">
    <w:name w:val="WW8Num17z0"/>
    <w:qFormat/>
    <w:rPr/>
  </w:style>
  <w:style w:type="character" w:styleId="WW8Num19z0">
    <w:name w:val="WW8Num19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color w:val="000000"/>
    </w:rPr>
  </w:style>
  <w:style w:type="character" w:styleId="WW8Num28z0">
    <w:name w:val="WW8Num28z0"/>
    <w:qFormat/>
    <w:rPr/>
  </w:style>
  <w:style w:type="character" w:styleId="WW8Num31z0">
    <w:name w:val="WW8Num31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2000-09-29T11:11:00Z</dcterms:created>
  <dc:creator>mheard</dc:creator>
  <dc:description/>
  <dc:language>en-CA</dc:language>
  <cp:lastModifiedBy>tjones</cp:lastModifiedBy>
  <cp:lastPrinted>2000-09-19T13:29:00Z</cp:lastPrinted>
  <dcterms:modified xsi:type="dcterms:W3CDTF">2000-09-29T11:14:00Z</dcterms:modified>
  <cp:revision>4</cp:revision>
  <dc:subject/>
  <dc:title>ISDA Multicurrency Agreement</dc:title>
</cp:coreProperties>
</file>