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DRAFT OF 09/28/2000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September 28,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 provided, however, that such term shall not include obligations in respect of deposits received in the ordinary course of either party’s banking business, if any.</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Market Quotation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Canadian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color w:val="FF0000"/>
          <w:sz w:val="22"/>
          <w:szCs w:val="22"/>
        </w:rPr>
      </w:pP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p>
    <w:p>
      <w:pPr>
        <w:pStyle w:val="Normal"/>
        <w:numPr>
          <w:ilvl w:val="0"/>
          <w:numId w:val="5"/>
        </w:numPr>
        <w:spacing w:lineRule="atLeast" w:line="240" w:before="240" w:after="0"/>
        <w:jc w:val="both"/>
        <w:rPr>
          <w:sz w:val="22"/>
          <w:szCs w:val="22"/>
        </w:rPr>
      </w:pPr>
      <w:r>
        <w:rPr>
          <w:sz w:val="22"/>
          <w:szCs w:val="22"/>
        </w:rPr>
        <w:t>The occurrence of a Material Adverse Change (as such term is defined in Paragraph 13 of the Credit Support Annex) with respect to Party A or to Party B.</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of Canada</w:t>
            </w:r>
          </w:p>
          <w:p>
            <w:pPr>
              <w:pStyle w:val="Normal"/>
              <w:keepNext w:val="true"/>
              <w:tabs>
                <w:tab w:val="clear" w:pos="720"/>
                <w:tab w:val="left" w:pos="3762" w:leader="none"/>
                <w:tab w:val="left" w:pos="4230" w:leader="none"/>
                <w:tab w:val="left" w:pos="9360" w:leader="none"/>
              </w:tabs>
              <w:spacing w:lineRule="exact" w:line="240"/>
              <w:jc w:val="both"/>
              <w:rPr/>
            </w:pPr>
            <w:r>
              <w:rPr>
                <w:color w:val="000000"/>
                <w:sz w:val="22"/>
                <w:szCs w:val="22"/>
              </w:rPr>
              <w:t>17</w:t>
            </w:r>
            <w:r>
              <w:rPr>
                <w:color w:val="000000"/>
                <w:sz w:val="22"/>
                <w:szCs w:val="22"/>
                <w:vertAlign w:val="superscript"/>
              </w:rPr>
              <w:t>th</w:t>
            </w:r>
            <w:r>
              <w:rPr>
                <w:color w:val="000000"/>
                <w:sz w:val="22"/>
                <w:szCs w:val="22"/>
              </w:rPr>
              <w:t xml:space="preserve"> Floor, South Tower</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Plaza</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200 Bay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M5J 2J5</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Managing Director, Global Middle Office</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(416) 842-4331</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(416) 842-6656</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rPr>
      </w:pPr>
      <w:r>
        <w:rPr>
          <w:color w:val="000000"/>
          <w:sz w:val="22"/>
          <w:szCs w:val="22"/>
        </w:rPr>
      </w:r>
    </w:p>
    <w:p>
      <w:pPr>
        <w:pStyle w:val="Normal"/>
        <w:ind w:firstLine="720" w:end="0"/>
        <w:jc w:val="both"/>
        <w:rPr/>
      </w:pPr>
      <w:r>
        <w:rPr>
          <w:sz w:val="22"/>
          <w:szCs w:val="22"/>
        </w:rPr>
        <w:t>(e)</w:t>
        <w:tab/>
      </w:r>
      <w:r>
        <w:rPr>
          <w:b/>
          <w:sz w:val="22"/>
        </w:rPr>
        <w:t>Execution</w:t>
      </w:r>
      <w:r>
        <w:rPr>
          <w:b/>
          <w:bCs/>
          <w:sz w:val="22"/>
        </w:rPr>
        <w:t>.</w:t>
      </w:r>
      <w:r>
        <w:rPr>
          <w:sz w:val="22"/>
        </w:rPr>
        <w:t xml:space="preserve">  Section 9(e)(ii) of this Agreement is deleted and replaced in its entirety with the following provision:</w:t>
      </w:r>
    </w:p>
    <w:p>
      <w:pPr>
        <w:pStyle w:val="Normal"/>
        <w:spacing w:lineRule="exact" w:line="240" w:before="240" w:after="0"/>
        <w:ind w:firstLine="90" w:start="630" w:end="0"/>
        <w:jc w:val="both"/>
        <w:rPr>
          <w:sz w:val="22"/>
          <w:szCs w:val="22"/>
        </w:rPr>
      </w:pPr>
      <w:r>
        <w:rPr>
          <w:sz w:val="22"/>
        </w:rPr>
        <w:t>“</w:t>
      </w:r>
      <w:r>
        <w:rPr>
          <w:sz w:val="22"/>
        </w:rPr>
        <w:t xml:space="preserve">(ii) </w:t>
      </w:r>
      <w:r>
        <w:rPr>
          <w:sz w:val="22"/>
          <w:u w:val="single"/>
        </w:rPr>
        <w:t>Execution of Transactions</w:t>
      </w:r>
      <w:r>
        <w:rPr>
          <w:sz w:val="22"/>
        </w:rPr>
        <w:t>.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Confirmation in the form utilized by Party A; (b) Party B will promptly thereafter confirm by facsimile the accuracy of or request the correction of such Confirmation; and (c) upon such confirmation by Party B, such facsimile transmissions shall be deemed to constitute a legally binding supplement to this Agreement upon the particular terms stated therein."</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 xml:space="preserve">(c)  Party A may transfer its rights and obligations under this Agreement, in whole but not in part, to any Affiliate incorporated in the United States or Canada so long as the obligations of such Affiliate are guaranteed by Enron Corp. pursuant to a guaranty substantially similar to the one provided on behalf of Party A hereunder, provided that such transfer will not give rise to a Termination Event or an Event of Default, and further provided that Party B </w:t>
      </w:r>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jc w:val="both"/>
        <w:rPr>
          <w:b/>
          <w:color w:val="000000"/>
          <w:sz w:val="22"/>
          <w:szCs w:val="22"/>
        </w:rPr>
      </w:pPr>
      <w:r>
        <w:rPr>
          <w:b/>
          <w:color w:val="000000"/>
          <w:sz w:val="22"/>
          <w:szCs w:val="22"/>
        </w:rPr>
      </w:r>
    </w:p>
    <w:p>
      <w:pPr>
        <w:pStyle w:val="Normal"/>
        <w:ind w:firstLine="720" w:end="0"/>
        <w:jc w:val="both"/>
        <w:rPr/>
      </w:pPr>
      <w:r>
        <w:rPr>
          <w:bCs/>
          <w:sz w:val="22"/>
        </w:rPr>
        <w:t>(o)</w:t>
        <w:tab/>
      </w:r>
      <w:r>
        <w:rPr>
          <w:b/>
          <w:sz w:val="22"/>
        </w:rPr>
        <w:t>Obligations Binding</w:t>
      </w:r>
      <w:r>
        <w:rPr>
          <w:b/>
          <w:bCs/>
          <w:sz w:val="22"/>
        </w:rPr>
        <w:t>.</w:t>
      </w:r>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p>
    <w:p>
      <w:pPr>
        <w:pStyle w:val="Normal"/>
        <w:jc w:val="both"/>
        <w:rPr>
          <w:b/>
          <w:sz w:val="22"/>
        </w:rPr>
      </w:pPr>
      <w:r>
        <w:rPr>
          <w:b/>
          <w:sz w:val="22"/>
        </w:rPr>
      </w:r>
    </w:p>
    <w:p>
      <w:pPr>
        <w:pStyle w:val="Normal"/>
        <w:ind w:firstLine="720" w:end="0"/>
        <w:jc w:val="both"/>
        <w:rPr/>
      </w:pPr>
      <w:r>
        <w:rPr>
          <w:bCs/>
          <w:sz w:val="22"/>
        </w:rPr>
        <w:t>(p)</w:t>
        <w:tab/>
      </w:r>
      <w:r>
        <w:rPr>
          <w:b/>
          <w:sz w:val="22"/>
        </w:rPr>
        <w:t>Illegality</w:t>
      </w:r>
      <w:r>
        <w:rPr>
          <w:b/>
          <w:bCs/>
          <w:sz w:val="22"/>
        </w:rPr>
        <w:t>.</w:t>
      </w:r>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p>
    <w:p>
      <w:pPr>
        <w:pStyle w:val="Normal"/>
        <w:jc w:val="both"/>
        <w:rPr>
          <w:b/>
          <w:sz w:val="22"/>
        </w:rPr>
      </w:pPr>
      <w:r>
        <w:rPr>
          <w:b/>
          <w:sz w:val="22"/>
        </w:rPr>
      </w:r>
    </w:p>
    <w:p>
      <w:pPr>
        <w:pStyle w:val="Normal"/>
        <w:ind w:firstLine="720" w:end="0"/>
        <w:jc w:val="both"/>
        <w:rPr/>
      </w:pPr>
      <w:r>
        <w:rPr>
          <w:bCs/>
          <w:sz w:val="22"/>
        </w:rPr>
        <w:t>(q)</w:t>
        <w:tab/>
      </w:r>
      <w:r>
        <w:rPr>
          <w:b/>
          <w:sz w:val="22"/>
        </w:rPr>
        <w:t>Service of Process.</w:t>
      </w:r>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p>
    <w:p>
      <w:pPr>
        <w:pStyle w:val="Normal"/>
        <w:jc w:val="both"/>
        <w:rPr>
          <w:b/>
          <w:sz w:val="22"/>
        </w:rPr>
      </w:pPr>
      <w:r>
        <w:rPr>
          <w:b/>
          <w:sz w:val="22"/>
        </w:rPr>
      </w:r>
    </w:p>
    <w:p>
      <w:pPr>
        <w:pStyle w:val="Normal"/>
        <w:ind w:firstLine="720" w:end="0"/>
        <w:jc w:val="both"/>
        <w:rPr/>
      </w:pPr>
      <w:r>
        <w:rPr>
          <w:bCs/>
          <w:sz w:val="22"/>
        </w:rPr>
        <w:t>(r)</w:t>
        <w:tab/>
      </w:r>
      <w:r>
        <w:rPr>
          <w:b/>
          <w:sz w:val="22"/>
        </w:rPr>
        <w:t>Electronic Confirmations</w:t>
      </w:r>
      <w:r>
        <w:rPr>
          <w:b/>
          <w:bCs/>
          <w:sz w:val="22"/>
        </w:rPr>
        <w:t>.</w:t>
      </w:r>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p>
    <w:p>
      <w:pPr>
        <w:pStyle w:val="Normal"/>
        <w:ind w:firstLine="720" w:end="0"/>
        <w:jc w:val="both"/>
        <w:rPr>
          <w:sz w:val="22"/>
        </w:rPr>
      </w:pPr>
      <w:r>
        <w:rPr>
          <w:sz w:val="22"/>
        </w:rPr>
      </w:r>
    </w:p>
    <w:p>
      <w:pPr>
        <w:pStyle w:val="Normal"/>
        <w:numPr>
          <w:ilvl w:val="0"/>
          <w:numId w:val="2"/>
        </w:numPr>
        <w:jc w:val="both"/>
        <w:rPr>
          <w:sz w:val="22"/>
        </w:rPr>
      </w:pPr>
      <w:r>
        <w:rPr>
          <w:sz w:val="22"/>
        </w:rPr>
        <w:t>such confirmation will constitute a 'Confirmation' as referred to in this Agreement even where not so specified in the Confirmation, and</w:t>
      </w:r>
    </w:p>
    <w:p>
      <w:pPr>
        <w:pStyle w:val="Normal"/>
        <w:jc w:val="both"/>
        <w:rPr>
          <w:sz w:val="22"/>
        </w:rPr>
      </w:pPr>
      <w:r>
        <w:rPr>
          <w:sz w:val="22"/>
        </w:rPr>
      </w:r>
    </w:p>
    <w:p>
      <w:pPr>
        <w:pStyle w:val="Normal"/>
        <w:ind w:hanging="720" w:start="1440" w:end="0"/>
        <w:jc w:val="both"/>
        <w:rPr>
          <w:sz w:val="22"/>
        </w:rPr>
      </w:pPr>
      <w:r>
        <w:rPr>
          <w:sz w:val="22"/>
        </w:rPr>
        <w:t>(ii)</w:t>
        <w:tab/>
        <w:t>such Confirmation will supplement, form part of, and be subject to this Agreement and all provisions in this Agreement will govern the Confirmation except as modified therein.</w:t>
      </w:r>
    </w:p>
    <w:p>
      <w:pPr>
        <w:pStyle w:val="Normal"/>
        <w:jc w:val="both"/>
        <w:rPr>
          <w:b/>
          <w:sz w:val="22"/>
        </w:rPr>
      </w:pPr>
      <w:r>
        <w:rPr>
          <w:b/>
          <w:sz w:val="22"/>
        </w:rPr>
      </w:r>
    </w:p>
    <w:p>
      <w:pPr>
        <w:pStyle w:val="Normal"/>
        <w:ind w:firstLine="720" w:end="0"/>
        <w:jc w:val="both"/>
        <w:rPr>
          <w:sz w:val="22"/>
        </w:rPr>
      </w:pPr>
      <w:r>
        <w:rPr>
          <w:bCs/>
          <w:sz w:val="22"/>
        </w:rPr>
        <w:t>(s)</w:t>
        <w:tab/>
      </w:r>
      <w:r>
        <w:rPr>
          <w:b/>
          <w:sz w:val="22"/>
        </w:rPr>
        <w:t>Electronic Signatures</w:t>
      </w:r>
      <w:r>
        <w:rPr>
          <w:b/>
          <w:bCs/>
          <w:sz w:val="22"/>
        </w:rPr>
        <w:t>.</w:t>
      </w:r>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rPr>
      </w:pPr>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p>
    <w:p>
      <w:pPr>
        <w:pStyle w:val="Normal"/>
        <w:jc w:val="both"/>
        <w:rPr>
          <w:b/>
          <w:bCs/>
          <w:color w:val="000000"/>
          <w:sz w:val="22"/>
          <w:szCs w:val="22"/>
        </w:rPr>
      </w:pPr>
      <w:r>
        <w:rPr>
          <w:b/>
          <w:bCs/>
          <w:color w:val="000000"/>
          <w:sz w:val="22"/>
          <w:szCs w:val="22"/>
        </w:rPr>
      </w:r>
    </w:p>
    <w:p>
      <w:pPr>
        <w:pStyle w:val="Justified"/>
        <w:widowControl/>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Peter C.M. Keohane</w:t>
            </w:r>
          </w:p>
          <w:p>
            <w:pPr>
              <w:pStyle w:val="Normal"/>
              <w:keepNext w:val="true"/>
              <w:spacing w:lineRule="exact" w:line="240"/>
              <w:jc w:val="both"/>
              <w:rPr>
                <w:color w:val="000000"/>
                <w:sz w:val="22"/>
                <w:szCs w:val="22"/>
              </w:rPr>
            </w:pPr>
            <w:r>
              <w:rPr>
                <w:color w:val="000000"/>
                <w:sz w:val="22"/>
                <w:szCs w:val="22"/>
              </w:rPr>
              <w:tab/>
              <w:t>Director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ROYAL BANK OF CANADA</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 OF LEGAL OPINIONS (PARTY A)</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September 28,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  ]</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C$75,000,000; provided, however, that the Threshold for Party A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(1) Party A is not a Defaulting Party and Party A’s Credit Support Provider has a Credit Rating from S&amp;P or Moody’s and the lowest Credit Rating for Party A’s Credit Support Provider is “BBB-” or higher by S&amp;P</w:t>
      </w:r>
      <w:r>
        <w:rPr>
          <w:sz w:val="22"/>
          <w:szCs w:val="22"/>
        </w:rPr>
        <w:t xml:space="preserve"> or “Baa3” or higher by Moody’s</w:t>
      </w:r>
      <w:r>
        <w:rPr>
          <w:color w:val="000000"/>
          <w:sz w:val="22"/>
          <w:szCs w:val="22"/>
        </w:rPr>
        <w:t>.</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or Moody’s and the lowest Credit Rating for it is “BBB-” or higher by S&amp;P or “Baa3” or higher by Moody’s.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“Baa3” by Moody’s or it fails to have a Credit Rating from S&amp;P or Moody’s.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Paragraph 7(i) is hereby amended by deleting the words “Eligible Collateral” and replacing them with the words “Eligible Credit Support.”</w:t>
      </w:r>
    </w:p>
    <w:p>
      <w:pPr>
        <w:pStyle w:val="Normal"/>
        <w:ind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pPr>
      <w:r>
        <w:rPr>
          <w:color w:val="000000"/>
          <w:sz w:val="22"/>
          <w:szCs w:val="22"/>
        </w:rPr>
        <w:t xml:space="preserve">(iv)  </w:t>
      </w:r>
      <w:r>
        <w:rPr>
          <w:b/>
          <w:bCs/>
          <w:color w:val="000000"/>
          <w:sz w:val="22"/>
          <w:szCs w:val="22"/>
        </w:rPr>
        <w:t>Relationship With Respect To Cash Collateral.</w:t>
      </w:r>
      <w:r>
        <w:rPr>
          <w:color w:val="000000"/>
          <w:sz w:val="22"/>
          <w:szCs w:val="22"/>
        </w:rPr>
        <w:t xml:space="preserve">  Notwithstanding Paragraph 2, the parties agree that, with respect to Posted Collateral in the form of Cash, the relationship between the Pledgor and the Secured Party is a relationship of creditor and debtor respectively and that all right, title and interest in any Posted Collateral in the form of Cash is transferred absolutely by the Pledgor to the Secured Party.  For greater certainty, no security interest in Posted Collateral in the form of Cash is intended to be created by this Agreement.  The Pledgor is entitled to the repayment of the amount of any Posted Collateral in the form of Cash only as provided in this Annex.  Although no security interest is created in any Posted Collateral in the form of Cash, each party hereby pledges to the other party, as the Secured Party, as security for its Obligations, and grants to the Secured Party a first priority continuing security interest in, lien on and right of Set-off against the obligation of the Secured Party to repay the amount of Posted Collateral in the form of Cash.  The Secured Party’s repayment obligation shall not be included in determining the value of Posted Collateral, although the value of any Posted Collateral in the form of Cash shall be included in determining such value.</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/mnt/main-storage/datasets/enron-docs/doc/792d__The_Royal_Bank__ctr.doc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11</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/mnt/main-storage/datasets/enron-docs/doc/792d__The_Royal_Bank__ctr.doc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/mnt/main-storage/datasets/enron-docs/doc/792d__The_Royal_Bank__ctr.doc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/mnt/main-storage/datasets/enron-docs/doc/792d__The_Royal_Bank__ctr.doc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abstractNum w:abstractNumId="5">
    <w:lvl w:ilvl="0">
      <w:start w:val="9"/>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WW8Num30z0">
    <w:name w:val="WW8Num30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2000-09-28T14:56:00Z</dcterms:created>
  <dc:creator>mheard</dc:creator>
  <dc:description/>
  <dc:language>en-CA</dc:language>
  <cp:lastModifiedBy>tjones</cp:lastModifiedBy>
  <cp:lastPrinted>2000-09-19T13:29:00Z</cp:lastPrinted>
  <dcterms:modified xsi:type="dcterms:W3CDTF">2000-09-28T18:47:00Z</dcterms:modified>
  <cp:revision>20</cp:revision>
  <dc:subject/>
  <dc:title>ISDA Multicurrency Agreement</dc:title>
</cp:coreProperties>
</file>