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09/19/2000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 [and may act through the preceding Offices].</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jc w:val="both"/>
        <w:rPr>
          <w:b/>
          <w:bCs/>
          <w:color w:val="000000"/>
          <w:sz w:val="22"/>
          <w:szCs w:val="22"/>
        </w:rPr>
      </w:pPr>
      <w:r>
        <w:rPr>
          <w:b/>
          <w:bCs/>
          <w:color w:val="000000"/>
          <w:sz w:val="22"/>
          <w:szCs w:val="22"/>
        </w:rPr>
      </w:r>
    </w:p>
    <w:p>
      <w:pPr>
        <w:pStyle w:val="Normal"/>
        <w:jc w:val="both"/>
        <w:rPr>
          <w:b/>
          <w:bCs/>
          <w:color w:val="000000"/>
          <w:sz w:val="22"/>
          <w:szCs w:val="22"/>
        </w:rPr>
      </w:pPr>
      <w:r>
        <w:rPr>
          <w:b/>
          <w:bCs/>
          <w:color w:val="000000"/>
          <w:sz w:val="22"/>
          <w:szCs w:val="22"/>
        </w:rPr>
      </w:r>
    </w:p>
    <w:p>
      <w:pPr>
        <w:pStyle w:val="Normal"/>
        <w:jc w:val="both"/>
        <w:rPr>
          <w:color w:val="000000"/>
          <w:sz w:val="22"/>
          <w:szCs w:val="22"/>
        </w:rPr>
      </w:pPr>
      <w:r>
        <w:rPr>
          <w:b/>
          <w:bCs/>
          <w:color w:val="000000"/>
          <w:sz w:val="22"/>
          <w:szCs w:val="22"/>
        </w:rPr>
        <w:t>Part 7.  Additional Terms for FX Transactions and Currency Option Transactions.</w:t>
      </w:r>
    </w:p>
    <w:p>
      <w:pPr>
        <w:pStyle w:val="Normal"/>
        <w:tabs>
          <w:tab w:val="clear" w:pos="720"/>
          <w:tab w:val="left" w:pos="1350" w:leader="none"/>
        </w:tabs>
        <w:ind w:firstLine="720" w:end="0"/>
        <w:jc w:val="both"/>
        <w:rPr>
          <w:color w:val="000000"/>
          <w:sz w:val="22"/>
          <w:szCs w:val="22"/>
        </w:rPr>
      </w:pPr>
      <w:r>
        <w:rPr>
          <w:color w:val="000000"/>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 OF LEGAL OPINIONS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C$45,000,000 and with respect to Party B, C$45,000,000;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3"/>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/mnt/main-storage/datasets/enron-docs/doc/792ctr.doc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/mnt/main-storage/datasets/enron-docs/doc/792ctr.doc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/mnt/main-storage/datasets/enron-docs/doc/792ctr.doc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/mnt/main-storage/datasets/enron-docs/doc/792ctr.doc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2000-09-18T16:48:00Z</dcterms:created>
  <dc:creator>mheard</dc:creator>
  <dc:description/>
  <dc:language>en-CA</dc:language>
  <cp:lastModifiedBy>tjones</cp:lastModifiedBy>
  <cp:lastPrinted>2000-09-19T13:29:00Z</cp:lastPrinted>
  <dcterms:modified xsi:type="dcterms:W3CDTF">2000-09-19T15:59:00Z</dcterms:modified>
  <cp:revision>64</cp:revision>
  <dc:subject/>
  <dc:title>ISDA Multicurrency Agreement</dc:title>
</cp:coreProperties>
</file>