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u w:val="single"/>
        </w:rPr>
      </w:pPr>
      <w:r>
        <w:rPr>
          <w:b/>
          <w:bCs/>
          <w:sz w:val="22"/>
          <w:szCs w:val="22"/>
          <w:u w:val="single"/>
        </w:rPr>
        <w:t>DRAFT OF 06/30/00</w:t>
      </w:r>
    </w:p>
    <w:p>
      <w:pPr>
        <w:pStyle w:val="Normal"/>
        <w:jc w:val="end"/>
        <w:rPr>
          <w:b/>
          <w:bCs/>
          <w:sz w:val="22"/>
          <w:szCs w:val="22"/>
          <w:u w:val="single"/>
        </w:rPr>
      </w:pPr>
      <w:r>
        <w:rPr>
          <w:b/>
          <w:bCs/>
          <w:sz w:val="22"/>
          <w:szCs w:val="22"/>
          <w:u w:val="single"/>
        </w:rPr>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BELLINGHAM COLD STORAGE CO., a corporation organized under the law of the State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$500,000 (or its equivalent in </w:t>
      </w:r>
      <w:r>
        <w:rPr>
          <w:color w:val="000000"/>
          <w:sz w:val="22"/>
          <w:szCs w:val="22"/>
        </w:rPr>
        <w:t xml:space="preserve">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corporation organized under the laws of the State of _______________.</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BodyTextIndent2"/>
        <w:widowControl/>
        <w:tabs>
          <w:tab w:val="clear" w:pos="1350"/>
          <w:tab w:val="left" w:pos="990" w:leader="none"/>
        </w:tabs>
        <w:spacing w:lineRule="exact" w:line="240" w:before="240" w:after="0"/>
        <w:rPr>
          <w:rFonts w:ascii="Times New Roman" w:hAnsi="Times New Roman" w:cs="Times New Roman"/>
        </w:rPr>
      </w:pPr>
      <w:r>
        <w:rPr>
          <w:rFonts w:cs="Times New Roman" w:ascii="Times New Roman" w:hAnsi="Times New Roman"/>
        </w:rPr>
        <w:t>(a)</w:t>
        <w:tab/>
        <w:tab/>
        <w:t>Tax forms, documents, or certificates to be delivered are:  United States Internal Revenue Service Form W</w:t>
        <w:noBreakHyphen/>
        <w:t>9.</w:t>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szCs w:val="22"/>
              </w:rPr>
            </w:pPr>
            <w:r>
              <w:rPr>
                <w:b/>
                <w:bCs/>
                <w:sz w:val="22"/>
                <w:szCs w:val="22"/>
              </w:rPr>
              <w:t>Party required to deliver document</w:t>
            </w:r>
          </w:p>
        </w:tc>
        <w:tc>
          <w:tcPr>
            <w:tcW w:w="4104" w:type="dxa"/>
            <w:tcBorders/>
          </w:tcPr>
          <w:p>
            <w:pPr>
              <w:pStyle w:val="Normal"/>
              <w:spacing w:lineRule="atLeast" w:line="240" w:before="240" w:after="0"/>
              <w:rPr>
                <w:sz w:val="22"/>
                <w:szCs w:val="22"/>
                <w:u w:val="single"/>
              </w:rPr>
            </w:pPr>
            <w:r>
              <w:rPr>
                <w:b/>
                <w:bCs/>
                <w:sz w:val="22"/>
                <w:szCs w:val="22"/>
              </w:rPr>
              <w:t>Form/Document/Certificate</w:t>
            </w:r>
          </w:p>
        </w:tc>
        <w:tc>
          <w:tcPr>
            <w:tcW w:w="2340" w:type="dxa"/>
            <w:tcBorders/>
          </w:tcPr>
          <w:p>
            <w:pPr>
              <w:pStyle w:val="Normal"/>
              <w:spacing w:lineRule="atLeast" w:line="240" w:before="240" w:after="0"/>
              <w:rPr>
                <w:sz w:val="22"/>
                <w:szCs w:val="22"/>
              </w:rPr>
            </w:pPr>
            <w:r>
              <w:rPr>
                <w:b/>
                <w:bCs/>
                <w:sz w:val="22"/>
                <w:szCs w:val="22"/>
              </w:rPr>
              <w:t>Date by which to be delivered</w:t>
            </w:r>
          </w:p>
        </w:tc>
        <w:tc>
          <w:tcPr>
            <w:tcW w:w="1926" w:type="dxa"/>
            <w:tcBorders/>
          </w:tcPr>
          <w:p>
            <w:pPr>
              <w:pStyle w:val="Normal"/>
              <w:spacing w:lineRule="atLeast" w:line="240" w:before="240" w:after="0"/>
              <w:rPr>
                <w:sz w:val="22"/>
                <w:szCs w:val="22"/>
              </w:rPr>
            </w:pPr>
            <w:r>
              <w:rPr>
                <w:b/>
                <w:bCs/>
                <w:sz w:val="22"/>
                <w:szCs w:val="22"/>
              </w:rPr>
              <w:t>Covered by Section 3(d) Representation</w:t>
              <w:br/>
            </w:r>
          </w:p>
        </w:tc>
      </w:tr>
      <w:tr>
        <w:trPr/>
        <w:tc>
          <w:tcPr>
            <w:tcW w:w="1926" w:type="dxa"/>
            <w:tcBorders/>
          </w:tcPr>
          <w:p>
            <w:pPr>
              <w:pStyle w:val="Normal"/>
              <w:spacing w:lineRule="atLeast" w:line="240" w:before="240" w:after="0"/>
              <w:jc w:val="both"/>
              <w:rPr>
                <w:b/>
                <w:bCs/>
                <w:sz w:val="22"/>
                <w:szCs w:val="22"/>
              </w:rPr>
            </w:pPr>
            <w:r>
              <w:rPr>
                <w:sz w:val="22"/>
                <w:szCs w:val="22"/>
              </w:rPr>
              <w:t>Party A</w:t>
            </w:r>
          </w:p>
        </w:tc>
        <w:tc>
          <w:tcPr>
            <w:tcW w:w="4104"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340" w:type="dxa"/>
            <w:tcBorders/>
          </w:tcPr>
          <w:p>
            <w:pPr>
              <w:pStyle w:val="Normal"/>
              <w:spacing w:lineRule="atLeast" w:line="240" w:before="240" w:after="0"/>
              <w:jc w:val="both"/>
              <w:rPr>
                <w:b/>
                <w:bCs/>
                <w:sz w:val="22"/>
                <w:szCs w:val="22"/>
              </w:rPr>
            </w:pPr>
            <w:r>
              <w:rPr>
                <w:sz w:val="22"/>
                <w:szCs w:val="22"/>
              </w:rPr>
              <w:t>At execution of this Master Agreement</w:t>
            </w:r>
          </w:p>
        </w:tc>
        <w:tc>
          <w:tcPr>
            <w:tcW w:w="1926" w:type="dxa"/>
            <w:tcBorders/>
          </w:tcPr>
          <w:p>
            <w:pPr>
              <w:pStyle w:val="Normal"/>
              <w:spacing w:lineRule="atLeast" w:line="240" w:before="240" w:after="0"/>
              <w:jc w:val="both"/>
              <w:rPr>
                <w:b/>
                <w:bCs/>
                <w:sz w:val="22"/>
                <w:szCs w:val="22"/>
              </w:rPr>
            </w:pPr>
            <w:r>
              <w:rPr>
                <w:sz w:val="22"/>
                <w:szCs w:val="22"/>
              </w:rPr>
              <w:t>Yes</w:t>
            </w:r>
          </w:p>
        </w:tc>
      </w:tr>
      <w:tr>
        <w:trPr/>
        <w:tc>
          <w:tcPr>
            <w:tcW w:w="1926" w:type="dxa"/>
            <w:tcBorders/>
          </w:tcPr>
          <w:p>
            <w:pPr>
              <w:pStyle w:val="Normal"/>
              <w:spacing w:lineRule="atLeast" w:line="240" w:before="240" w:after="0"/>
              <w:jc w:val="both"/>
              <w:rPr>
                <w:sz w:val="22"/>
                <w:szCs w:val="22"/>
              </w:rPr>
            </w:pPr>
            <w:r>
              <w:rPr>
                <w:sz w:val="22"/>
                <w:szCs w:val="22"/>
              </w:rPr>
              <w:t>Party A and Party B</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340"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26" w:type="dxa"/>
            <w:tcBorders/>
          </w:tcPr>
          <w:p>
            <w:pPr>
              <w:pStyle w:val="Normal"/>
              <w:spacing w:lineRule="atLeast" w:line="240" w:before="240" w:after="0"/>
              <w:jc w:val="both"/>
              <w:rPr>
                <w:sz w:val="22"/>
                <w:szCs w:val="22"/>
              </w:rPr>
            </w:pPr>
            <w:r>
              <w:rPr>
                <w:sz w:val="22"/>
                <w:szCs w:val="22"/>
              </w:rPr>
              <w:t>Yes</w:t>
            </w:r>
          </w:p>
        </w:tc>
      </w:tr>
      <w:tr>
        <w:trPr/>
        <w:tc>
          <w:tcPr>
            <w:tcW w:w="1926" w:type="dxa"/>
            <w:tcBorders/>
          </w:tcPr>
          <w:p>
            <w:pPr>
              <w:pStyle w:val="Normal"/>
              <w:spacing w:lineRule="atLeast" w:line="240" w:before="240" w:after="0"/>
              <w:jc w:val="both"/>
              <w:rPr>
                <w:sz w:val="22"/>
                <w:szCs w:val="22"/>
              </w:rPr>
            </w:pPr>
            <w:r>
              <w:rPr>
                <w:sz w:val="22"/>
                <w:szCs w:val="22"/>
              </w:rPr>
              <w:t>Party A and Party B</w:t>
            </w:r>
          </w:p>
        </w:tc>
        <w:tc>
          <w:tcPr>
            <w:tcW w:w="4104"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bCs/>
                <w:sz w:val="22"/>
                <w:szCs w:val="22"/>
              </w:rPr>
            </w:pPr>
            <w:r>
              <w:rPr>
                <w:sz w:val="22"/>
                <w:szCs w:val="22"/>
              </w:rPr>
              <w:t>At execution of this Master Agreement</w:t>
            </w:r>
          </w:p>
        </w:tc>
        <w:tc>
          <w:tcPr>
            <w:tcW w:w="1926" w:type="dxa"/>
            <w:tcBorders/>
          </w:tcPr>
          <w:p>
            <w:pPr>
              <w:pStyle w:val="Normal"/>
              <w:spacing w:lineRule="atLeast" w:line="240" w:before="240" w:after="0"/>
              <w:jc w:val="both"/>
              <w:rPr>
                <w:b/>
                <w:bCs/>
                <w:sz w:val="22"/>
                <w:szCs w:val="22"/>
              </w:rPr>
            </w:pPr>
            <w:r>
              <w:rPr>
                <w:sz w:val="22"/>
                <w:szCs w:val="22"/>
              </w:rPr>
              <w:t>Yes</w:t>
            </w:r>
          </w:p>
        </w:tc>
      </w:tr>
      <w:tr>
        <w:trPr/>
        <w:tc>
          <w:tcPr>
            <w:tcW w:w="1926" w:type="dxa"/>
            <w:tcBorders/>
          </w:tcPr>
          <w:p>
            <w:pPr>
              <w:pStyle w:val="Normal"/>
              <w:spacing w:lineRule="atLeast" w:line="240" w:before="240" w:after="0"/>
              <w:jc w:val="both"/>
              <w:rPr>
                <w:sz w:val="22"/>
                <w:szCs w:val="22"/>
              </w:rPr>
            </w:pPr>
            <w:r>
              <w:rPr>
                <w:sz w:val="22"/>
                <w:szCs w:val="22"/>
              </w:rPr>
              <w:t>Party A</w:t>
            </w:r>
          </w:p>
        </w:tc>
        <w:tc>
          <w:tcPr>
            <w:tcW w:w="4104"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26" w:type="dxa"/>
            <w:tcBorders/>
          </w:tcPr>
          <w:p>
            <w:pPr>
              <w:pStyle w:val="Normal"/>
              <w:spacing w:lineRule="atLeast" w:line="240" w:before="240" w:after="0"/>
              <w:jc w:val="both"/>
              <w:rPr>
                <w:b/>
                <w:bCs/>
                <w:sz w:val="22"/>
                <w:szCs w:val="22"/>
              </w:rPr>
            </w:pPr>
            <w:r>
              <w:rPr>
                <w:sz w:val="22"/>
                <w:szCs w:val="22"/>
              </w:rPr>
              <w:t>Yes</w:t>
            </w:r>
          </w:p>
        </w:tc>
      </w:tr>
      <w:tr>
        <w:trPr/>
        <w:tc>
          <w:tcPr>
            <w:tcW w:w="1926" w:type="dxa"/>
            <w:tcBorders/>
          </w:tcPr>
          <w:p>
            <w:pPr>
              <w:pStyle w:val="Normal"/>
              <w:spacing w:lineRule="atLeast" w:line="240" w:before="240" w:after="0"/>
              <w:jc w:val="both"/>
              <w:rPr>
                <w:sz w:val="22"/>
                <w:szCs w:val="22"/>
              </w:rPr>
            </w:pPr>
            <w:r>
              <w:rPr>
                <w:sz w:val="22"/>
                <w:szCs w:val="22"/>
              </w:rPr>
              <w:t>Party A</w:t>
            </w:r>
          </w:p>
        </w:tc>
        <w:tc>
          <w:tcPr>
            <w:tcW w:w="4104"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340" w:type="dxa"/>
            <w:tcBorders/>
          </w:tcPr>
          <w:p>
            <w:pPr>
              <w:pStyle w:val="Justified"/>
              <w:widowControl/>
              <w:spacing w:lineRule="atLeast" w:line="240" w:before="240" w:after="0"/>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26" w:type="dxa"/>
            <w:tcBorders/>
          </w:tcPr>
          <w:p>
            <w:pPr>
              <w:pStyle w:val="Normal"/>
              <w:spacing w:lineRule="atLeast" w:line="240" w:before="240" w:after="0"/>
              <w:jc w:val="both"/>
              <w:rPr>
                <w:b/>
                <w:bCs/>
                <w:sz w:val="22"/>
                <w:szCs w:val="22"/>
              </w:rPr>
            </w:pPr>
            <w:r>
              <w:rPr>
                <w:sz w:val="22"/>
                <w:szCs w:val="22"/>
              </w:rPr>
              <w:t>Yes</w:t>
            </w:r>
          </w:p>
        </w:tc>
      </w:tr>
      <w:tr>
        <w:trPr/>
        <w:tc>
          <w:tcPr>
            <w:tcW w:w="1926" w:type="dxa"/>
            <w:tcBorders/>
          </w:tcPr>
          <w:p>
            <w:pPr>
              <w:pStyle w:val="Normal"/>
              <w:spacing w:lineRule="atLeast" w:line="240" w:before="240" w:after="0"/>
              <w:jc w:val="both"/>
              <w:rPr>
                <w:sz w:val="22"/>
                <w:szCs w:val="22"/>
              </w:rPr>
            </w:pPr>
            <w:r>
              <w:rPr>
                <w:sz w:val="22"/>
                <w:szCs w:val="22"/>
              </w:rPr>
              <w:t>Party B</w:t>
            </w:r>
          </w:p>
        </w:tc>
        <w:tc>
          <w:tcPr>
            <w:tcW w:w="4104"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szCs w:val="22"/>
              </w:rPr>
            </w:pPr>
            <w:r>
              <w:rPr>
                <w:sz w:val="22"/>
                <w:szCs w:val="22"/>
              </w:rPr>
              <w:t>Party B</w:t>
            </w:r>
          </w:p>
        </w:tc>
        <w:tc>
          <w:tcPr>
            <w:tcW w:w="4104"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340" w:type="dxa"/>
            <w:tcBorders/>
          </w:tcPr>
          <w:p>
            <w:pPr>
              <w:pStyle w:val="Normal"/>
              <w:spacing w:lineRule="atLeast" w:line="240" w:before="240" w:after="0"/>
              <w:jc w:val="both"/>
              <w:rPr>
                <w:sz w:val="22"/>
                <w:szCs w:val="22"/>
              </w:rPr>
            </w:pPr>
            <w:r>
              <w:rPr>
                <w:sz w:val="22"/>
                <w:szCs w:val="22"/>
              </w:rPr>
              <w:t>Promptly following demand by Party A, but in no event later than 60 days after the end of each of the first three fiscal quarters of each fiscal year of Party B</w:t>
            </w:r>
          </w:p>
        </w:tc>
        <w:tc>
          <w:tcPr>
            <w:tcW w:w="1926" w:type="dxa"/>
            <w:tcBorders/>
          </w:tcPr>
          <w:p>
            <w:pPr>
              <w:pStyle w:val="Normal"/>
              <w:spacing w:lineRule="atLeast" w:line="240" w:before="240" w:after="0"/>
              <w:jc w:val="both"/>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Bellingham Cold Storage</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2825 Roeder Avenue</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Bellingham, Washington  98225</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00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240" w:after="0"/>
        <w:ind w:firstLine="720" w:end="0"/>
        <w:jc w:val="both"/>
        <w:rPr>
          <w:color w:val="FF0000"/>
          <w:sz w:val="22"/>
          <w:szCs w:val="22"/>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Agent,[_____________], having an office in [</w:t>
      </w:r>
      <w:r>
        <w:rPr>
          <w:sz w:val="22"/>
          <w:szCs w:val="22"/>
          <w:u w:val="single"/>
        </w:rPr>
        <w:t xml:space="preserve">                     </w:t>
      </w:r>
      <w:r>
        <w:rPr>
          <w:sz w:val="22"/>
          <w:szCs w:val="22"/>
        </w:rPr>
        <w:t>] on the date of this Agreement at [______________].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color w:val="FF0000"/>
          <w:sz w:val="22"/>
          <w:szCs w:val="22"/>
        </w:rPr>
      </w:pPr>
      <w:r>
        <w:rPr>
          <w:sz w:val="22"/>
          <w:szCs w:val="22"/>
        </w:rPr>
        <w:t>(n)</w:t>
        <w:tab/>
      </w:r>
      <w:r>
        <w:rPr>
          <w:b/>
          <w:bCs/>
          <w:sz w:val="22"/>
          <w:szCs w:val="22"/>
        </w:rPr>
        <w:t>Existing Transactions</w:t>
      </w:r>
      <w:r>
        <w:rPr>
          <w:sz w:val="22"/>
          <w:szCs w:val="22"/>
        </w:rPr>
        <w:t>.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Header"/>
        <w:widowControl/>
        <w:jc w:val="both"/>
        <w:rPr>
          <w:color w:val="000000"/>
          <w:sz w:val="22"/>
          <w:szCs w:val="22"/>
        </w:rPr>
      </w:pPr>
      <w:r>
        <w:rPr>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szCs w:val="22"/>
              </w:rPr>
            </w:pPr>
            <w:r>
              <w:rPr>
                <w:b/>
                <w:bCs/>
                <w:color w:val="000000"/>
                <w:sz w:val="22"/>
                <w:szCs w:val="22"/>
              </w:rPr>
              <w:t>ENRON NORTH AMERICA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tabs>
                <w:tab w:val="clear" w:pos="720"/>
                <w:tab w:val="left" w:pos="4320" w:leader="none"/>
              </w:tabs>
              <w:spacing w:lineRule="exact" w:line="240"/>
              <w:jc w:val="both"/>
              <w:rPr>
                <w:color w:val="000000"/>
                <w:sz w:val="22"/>
                <w:szCs w:val="22"/>
              </w:rPr>
            </w:pPr>
            <w:r>
              <w:rPr>
                <w:color w:val="000000"/>
                <w:sz w:val="22"/>
                <w:szCs w:val="22"/>
              </w:rPr>
              <w:t xml:space="preserve">Title:    </w:t>
            </w:r>
            <w:r>
              <w:rPr>
                <w:color w:val="000000"/>
                <w:sz w:val="22"/>
                <w:szCs w:val="22"/>
                <w:u w:val="single"/>
              </w:rPr>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BELLINGHAM COLD STORAGE CO.</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2000</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BELLINGHAM COLD STORAGE CO., a corporation organized under the law of the State of 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720" w:end="0"/>
        <w:jc w:val="both"/>
        <w:rPr>
          <w:b/>
          <w:bCs/>
          <w:sz w:val="22"/>
          <w:szCs w:val="22"/>
        </w:rPr>
      </w:pPr>
      <w:r>
        <w:rPr>
          <w:b/>
          <w:bCs/>
          <w:sz w:val="22"/>
          <w:szCs w:val="22"/>
        </w:rPr>
      </w:r>
    </w:p>
    <w:p>
      <w:pPr>
        <w:pStyle w:val="Normal"/>
        <w:ind w:start="1440" w:end="0"/>
        <w:jc w:val="both"/>
        <w:rPr>
          <w:sz w:val="22"/>
          <w:szCs w:val="22"/>
        </w:rPr>
      </w:pPr>
      <w:r>
        <w:rPr>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$5,000,000 and with respect to Party B, U.S. $500,000;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(as defined in Paragraph 13(g)(ii)) and Posted Collateral shall be maintained in accordance with Paragraphs 13(g)(ii) and 13(h)(iii).</w:t>
      </w:r>
    </w:p>
    <w:p>
      <w:pPr>
        <w:pStyle w:val="Normal"/>
        <w:ind w:hanging="720" w:start="216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(such party shall be the </w:t>
      </w:r>
      <w:r>
        <w:rPr>
          <w:b/>
          <w:bCs/>
          <w:sz w:val="22"/>
          <w:szCs w:val="22"/>
        </w:rPr>
        <w:t>“Downgraded Party”</w:t>
      </w:r>
      <w:r>
        <w:rPr>
          <w:sz w:val="22"/>
          <w:szCs w:val="22"/>
        </w:rPr>
        <w:t xml:space="preserve"> and the event that caused it to be ineligible to hold Posted Collateral shall be a </w:t>
      </w:r>
      <w:r>
        <w:rPr>
          <w:b/>
          <w:bCs/>
          <w:sz w:val="22"/>
          <w:szCs w:val="22"/>
        </w:rPr>
        <w:t>“Credit Rating Event”</w:t>
      </w:r>
      <w:r>
        <w:rPr>
          <w:sz w:val="22"/>
          <w:szCs w:val="22"/>
        </w:rPr>
        <w:t>),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and</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 to Interest Amount.</w:t>
      </w:r>
      <w:r>
        <w:rPr>
          <w:sz w:val="22"/>
          <w:szCs w:val="22"/>
        </w:rPr>
        <w:t xml:space="preserve">  The provisions of Paragraph 6(d)(ii) will apply except as modified below.</w:t>
      </w:r>
    </w:p>
    <w:p>
      <w:pPr>
        <w:pStyle w:val="Normal"/>
        <w:ind w:hanging="720" w:start="1440" w:end="0"/>
        <w:jc w:val="both"/>
        <w:rPr>
          <w:sz w:val="22"/>
          <w:szCs w:val="22"/>
        </w:rPr>
      </w:pPr>
      <w:r>
        <w:rPr>
          <w:sz w:val="22"/>
          <w:szCs w:val="22"/>
        </w:rPr>
      </w:r>
    </w:p>
    <w:p>
      <w:pPr>
        <w:pStyle w:val="Normal"/>
        <w:ind w:start="720" w:end="0"/>
        <w:jc w:val="both"/>
        <w:rPr>
          <w:sz w:val="22"/>
          <w:szCs w:val="22"/>
        </w:rPr>
      </w:pPr>
      <w:r>
        <w:rPr>
          <w:sz w:val="22"/>
          <w:szCs w:val="22"/>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Normal"/>
        <w:jc w:val="both"/>
        <w:rPr>
          <w:sz w:val="22"/>
          <w:szCs w:val="22"/>
        </w:rPr>
      </w:pPr>
      <w:r>
        <w:rPr>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(k)</w:t>
        <w:tab/>
      </w:r>
      <w:r>
        <w:rPr>
          <w:b/>
          <w:bCs/>
          <w:sz w:val="22"/>
          <w:szCs w:val="22"/>
        </w:rPr>
        <w:t>Demands and Notices.</w:t>
      </w:r>
    </w:p>
    <w:p>
      <w:pPr>
        <w:pStyle w:val="Normal"/>
        <w:jc w:val="both"/>
        <w:rPr>
          <w:sz w:val="22"/>
          <w:szCs w:val="22"/>
        </w:rPr>
      </w:pPr>
      <w:r>
        <w:rPr>
          <w:sz w:val="22"/>
          <w:szCs w:val="22"/>
        </w:rPr>
      </w:r>
    </w:p>
    <w:p>
      <w:pPr>
        <w:pStyle w:val="Normal"/>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(l)</w:t>
        <w:tab/>
      </w:r>
      <w:r>
        <w:rPr>
          <w:b/>
          <w:bCs/>
          <w:sz w:val="22"/>
          <w:szCs w:val="22"/>
        </w:rPr>
        <w:t>Addresses for Transfers.</w:t>
      </w:r>
    </w:p>
    <w:p>
      <w:pPr>
        <w:pStyle w:val="Normal"/>
        <w:ind w:start="720" w:end="0"/>
        <w:jc w:val="both"/>
        <w:rPr>
          <w:sz w:val="22"/>
          <w:szCs w:val="22"/>
        </w:rPr>
      </w:pPr>
      <w:r>
        <w:rPr>
          <w:sz w:val="22"/>
          <w:szCs w:val="22"/>
        </w:rPr>
      </w:r>
    </w:p>
    <w:p>
      <w:pPr>
        <w:pStyle w:val="Normal"/>
        <w:ind w:hanging="1080" w:start="1800" w:end="0"/>
        <w:jc w:val="both"/>
        <w:rPr>
          <w:sz w:val="22"/>
          <w:szCs w:val="22"/>
        </w:rPr>
      </w:pPr>
      <w:r>
        <w:rPr>
          <w:sz w:val="22"/>
          <w:szCs w:val="22"/>
        </w:rPr>
        <w:t>Party A:     To be provided in notice requesting delivery/return of Eligible Credit Support/Posted Credit Support.</w:t>
      </w:r>
    </w:p>
    <w:p>
      <w:pPr>
        <w:pStyle w:val="Normal"/>
        <w:ind w:start="720" w:end="0"/>
        <w:jc w:val="both"/>
        <w:rPr>
          <w:sz w:val="22"/>
          <w:szCs w:val="22"/>
        </w:rPr>
      </w:pPr>
      <w:r>
        <w:rPr>
          <w:sz w:val="22"/>
          <w:szCs w:val="22"/>
        </w:rPr>
      </w:r>
    </w:p>
    <w:p>
      <w:pPr>
        <w:pStyle w:val="Normal"/>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BodyText"/>
        <w:ind w:start="720" w:end="0"/>
        <w:rPr>
          <w:b/>
          <w:bCs/>
          <w:sz w:val="22"/>
          <w:szCs w:val="22"/>
        </w:rPr>
      </w:pPr>
      <w:r>
        <w:rPr>
          <w:b/>
          <w:bCs/>
          <w:sz w:val="22"/>
          <w:szCs w:val="22"/>
        </w:rPr>
      </w:r>
    </w:p>
    <w:p>
      <w:pPr>
        <w:pStyle w:val="BodyText"/>
        <w:ind w:start="720" w:end="0"/>
        <w:jc w:val="both"/>
        <w:rPr/>
      </w:pPr>
      <w:r>
        <w:rPr>
          <w:b/>
          <w:bCs/>
        </w:rPr>
        <w:t>“</w:t>
      </w:r>
      <w:r>
        <w:rPr>
          <w:b/>
          <w:bCs/>
        </w:rPr>
        <w:t>EBIT”</w:t>
      </w:r>
      <w:r>
        <w:rPr/>
        <w:t xml:space="preserve"> means, with respect to Party B for any period, the aggregate amount of its Net Income plus the sum of (to the extent deducted in calculating Net Income) (i) the aggregate amount of Interest Expense for such period, and (ii) the aggregate amount of consolidated income taxes for such person for such period.</w:t>
      </w:r>
    </w:p>
    <w:p>
      <w:pPr>
        <w:pStyle w:val="Normal"/>
        <w:spacing w:lineRule="exact" w:line="240" w:before="240" w:after="0"/>
        <w:ind w:start="720" w:end="0"/>
        <w:jc w:val="both"/>
        <w:rPr/>
      </w:pPr>
      <w:r>
        <w:rPr>
          <w:b/>
          <w:bCs/>
          <w:sz w:val="22"/>
          <w:szCs w:val="22"/>
        </w:rPr>
        <w:t>“</w:t>
      </w:r>
      <w:r>
        <w:rPr>
          <w:b/>
          <w:bCs/>
          <w:sz w:val="22"/>
          <w:szCs w:val="22"/>
        </w:rPr>
        <w:t>EBIT Coverage Ratio”</w:t>
      </w:r>
      <w:r>
        <w:rPr>
          <w:sz w:val="22"/>
          <w:szCs w:val="22"/>
        </w:rPr>
        <w:t xml:space="preserve"> means, with respect to any period, the ratio of (i) EBIT for such period to (ii) the aggregate amount of Interest Expense for such period.</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spacing w:lineRule="atLeast" w:line="240"/>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p>
    <w:p>
      <w:pPr>
        <w:pStyle w:val="Normal"/>
        <w:spacing w:lineRule="exact" w:line="240" w:before="240" w:after="0"/>
        <w:ind w:start="720" w:end="0"/>
        <w:jc w:val="both"/>
        <w:rPr/>
      </w:pPr>
      <w:r>
        <w:rPr>
          <w:b/>
          <w:bCs/>
          <w:sz w:val="22"/>
          <w:szCs w:val="22"/>
        </w:rPr>
        <w:t>“</w:t>
      </w:r>
      <w:r>
        <w:rPr>
          <w:b/>
          <w:bCs/>
          <w:sz w:val="22"/>
          <w:szCs w:val="22"/>
        </w:rPr>
        <w:t>Interest Expense”</w:t>
      </w:r>
      <w:r>
        <w:rPr>
          <w:sz w:val="22"/>
          <w:szCs w:val="22"/>
        </w:rPr>
        <w:t xml:space="preserve"> means, for any period, without duplication, the total consolidated interest expense of Party B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(b) with respect to Party B, shall have any of the following occur at any time:  (i) its Net Worth falls below U.S. $15,000,000, or (ii) its EBIT Coverage Ratio shall be less than 2 to 1</w:t>
      </w:r>
      <w:r>
        <w:rPr>
          <w:color w:val="000000"/>
          <w:sz w:val="22"/>
          <w:szCs w:val="22"/>
        </w:rPr>
        <w: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0"/>
        <w:jc w:val="both"/>
        <w:rPr/>
      </w:pPr>
      <w:r>
        <w:rPr>
          <w:b/>
          <w:bCs/>
          <w:sz w:val="22"/>
          <w:szCs w:val="22"/>
        </w:rPr>
        <w:t>“</w:t>
      </w:r>
      <w:r>
        <w:rPr>
          <w:b/>
          <w:bCs/>
          <w:sz w:val="22"/>
          <w:szCs w:val="22"/>
        </w:rPr>
        <w:t>Net Income”</w:t>
      </w:r>
      <w:r>
        <w:rPr>
          <w:sz w:val="22"/>
          <w:szCs w:val="22"/>
        </w:rPr>
        <w:t xml:space="preserve"> means consolidated gross revenues of Party B and other proper income credits, less all proper income charges, including taxes on income, all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144"/>
        <w:jc w:val="both"/>
        <w:rPr/>
      </w:pPr>
      <w:r>
        <w:rPr>
          <w:b/>
          <w:bCs/>
          <w:sz w:val="22"/>
          <w:szCs w:val="22"/>
        </w:rPr>
        <w:t>“</w:t>
      </w:r>
      <w:r>
        <w:rPr>
          <w:b/>
          <w:bCs/>
          <w:sz w:val="22"/>
          <w:szCs w:val="22"/>
        </w:rPr>
        <w:t>Net Worth”</w:t>
      </w:r>
      <w:r>
        <w:rPr>
          <w:sz w:val="22"/>
          <w:szCs w:val="22"/>
        </w:rPr>
        <w:t xml:space="preserve"> means consolidated total assets of Party B (exclusive of intangible assets), minus the consolidated total liabilities of Party B, each as would be reflected on a consolidated balance sheet of Party B prepared in accordance with GAAP.</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ind w:start="0" w:end="0"/>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Justified"/>
        <w:widowControl/>
        <w:spacing w:lineRule="exact" w:line="240" w:before="0" w:after="0"/>
        <w:rPr>
          <w:rFonts w:ascii="Times New Roman" w:hAnsi="Times New Roman" w:cs="Times New Roman"/>
        </w:rPr>
      </w:pPr>
      <w:r>
        <w:rPr>
          <w:rFonts w:cs="Times New Roman" w:ascii="Times New Roman" w:hAnsi="Times New Roman"/>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rFonts w:ascii="Times New Roman" w:hAnsi="Times New Roman" w:cs="Times New Roman"/>
          <w:sz w:val="22"/>
          <w:szCs w:val="22"/>
        </w:rPr>
      </w:pPr>
      <w:r>
        <w:rPr>
          <w:rFonts w:cs="Times New Roman"/>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BELLINGHAM COLD STORAGE CO., a </w:t>
      </w:r>
      <w:r>
        <w:rPr>
          <w:sz w:val="22"/>
          <w:szCs w:val="22"/>
          <w:u w:val="single"/>
        </w:rPr>
        <w:tab/>
      </w:r>
      <w:r>
        <w:rPr>
          <w:sz w:val="22"/>
          <w:szCs w:val="22"/>
        </w:rPr>
        <w:t xml:space="preserve">____________________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Bellingham Cold Storage Co.</w:t>
            </w:r>
          </w:p>
        </w:tc>
        <w:tc>
          <w:tcPr>
            <w:tcW w:w="1618" w:type="dxa"/>
            <w:tcBorders/>
          </w:tcPr>
          <w:p>
            <w:pPr>
              <w:pStyle w:val="Normal"/>
              <w:keepNext w:val="true"/>
              <w:keepLines/>
              <w:spacing w:lineRule="atLeast" w:line="240"/>
              <w:rPr>
                <w:color w:val="000000"/>
                <w:sz w:val="22"/>
                <w:szCs w:val="22"/>
              </w:rPr>
            </w:pPr>
            <w:r>
              <w:rPr>
                <w:color w:val="000000"/>
                <w:sz w:val="22"/>
                <w:szCs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2825 Roeder Avenue</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Bellingham, Washington  98225</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tab/>
      </w:r>
    </w:p>
    <w:sectPr>
      <w:headerReference w:type="default" r:id="rId12"/>
      <w:headerReference w:type="first" r:id="rId13"/>
      <w:footerReference w:type="default" r:id="rId14"/>
      <w:footerReference w:type="first" r:id="rId15"/>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/mnt/main-storage/datasets/enron-docs/doc/788ctr.doc</w:t>
    </w:r>
    <w:r>
      <w:rPr>
        <w:sz w:val="12"/>
      </w:rPr>
      <w:fldChar w:fldCharType="end"/>
    </w:r>
  </w:p>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Exhibit A</w:t>
    </w:r>
  </w:p>
  <w:p>
    <w:pPr>
      <w:pStyle w:val="Footer"/>
      <w:widowControl/>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character" w:styleId="WW8Num5z0">
    <w:name w:val="WW8Num5z0"/>
    <w:qFormat/>
    <w:rPr/>
  </w:style>
  <w:style w:type="character" w:styleId="WW8Num6z0">
    <w:name w:val="WW8Num6z0"/>
    <w:qFormat/>
    <w:rPr/>
  </w:style>
  <w:style w:type="character" w:styleId="WW8Num7z0">
    <w:name w:val="WW8Num7z0"/>
    <w:qFormat/>
    <w:rPr>
      <w:sz w:val="20"/>
      <w:szCs w:val="20"/>
    </w:rPr>
  </w:style>
  <w:style w:type="character" w:styleId="WW8Num10z0">
    <w:name w:val="WW8Num10z0"/>
    <w:qFormat/>
    <w:rPr/>
  </w:style>
  <w:style w:type="character" w:styleId="WW8Num13z0">
    <w:name w:val="WW8Num13z0"/>
    <w:qFormat/>
    <w:rPr>
      <w:sz w:val="22"/>
      <w:szCs w:val="22"/>
    </w:rPr>
  </w:style>
  <w:style w:type="character" w:styleId="WW8Num15z0">
    <w:name w:val="WW8Num15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color w:val="000000"/>
    </w:rPr>
  </w:style>
  <w:style w:type="character" w:styleId="WW8Num24z0">
    <w:name w:val="WW8Num24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2000-06-30T12:23:00Z</dcterms:created>
  <dc:creator>mheard</dc:creator>
  <dc:description/>
  <dc:language>en-CA</dc:language>
  <cp:lastModifiedBy>tjones</cp:lastModifiedBy>
  <cp:lastPrinted>2000-06-30T14:28:00Z</cp:lastPrinted>
  <dcterms:modified xsi:type="dcterms:W3CDTF">2000-06-30T17:04:00Z</dcterms:modified>
  <cp:revision>19</cp:revision>
  <dc:subject/>
  <dc:title>ISDA Multicurrency Agreement</dc:title>
</cp:coreProperties>
</file>