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03/01/00</w:t>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200__</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color w:val="800080"/>
                <w:sz w:val="22"/>
              </w:rPr>
            </w:pPr>
            <w:r>
              <w:rPr>
                <w:b/>
                <w:color w:val="800080"/>
                <w:sz w:val="22"/>
              </w:rPr>
              <w:t>ENRON CANADA CORP., a corporation organized under the law of the Province of Alberta</w:t>
            </w:r>
          </w:p>
          <w:p>
            <w:pPr>
              <w:pStyle w:val="Normal"/>
              <w:tabs>
                <w:tab w:val="clear" w:pos="720"/>
                <w:tab w:val="center" w:pos="5760" w:leader="none"/>
              </w:tabs>
              <w:jc w:val="center"/>
              <w:rPr>
                <w:b/>
                <w:color w:val="800080"/>
                <w:sz w:val="22"/>
              </w:rPr>
            </w:pPr>
            <w:r>
              <w:rPr>
                <w:b/>
                <w:color w:val="800080"/>
                <w:sz w:val="22"/>
              </w:rPr>
              <w:t>(“Party A”), and</w:t>
            </w:r>
          </w:p>
        </w:tc>
        <w:tc>
          <w:tcPr>
            <w:tcW w:w="4788" w:type="dxa"/>
            <w:tcBorders/>
          </w:tcPr>
          <w:p>
            <w:pPr>
              <w:pStyle w:val="Normal"/>
              <w:tabs>
                <w:tab w:val="clear" w:pos="720"/>
                <w:tab w:val="center" w:pos="5760" w:leader="none"/>
              </w:tabs>
              <w:spacing w:before="240" w:after="0"/>
              <w:jc w:val="center"/>
              <w:rPr>
                <w:b/>
                <w:color w:val="800080"/>
                <w:sz w:val="22"/>
              </w:rPr>
            </w:pPr>
            <w:r>
              <w:rPr>
                <w:b/>
                <w:color w:val="800080"/>
                <w:sz w:val="22"/>
              </w:rPr>
              <w:t>DYNEGY CANADA INC., a corporation organized under the law of the Province of Alberta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and with respect to Party B’s Credit Support Provider, U.S. $50,000,000 (or its equivalent in another </w:t>
      </w:r>
      <w:r>
        <w:rPr>
          <w:color w:val="000000"/>
          <w:sz w:val="22"/>
        </w:rPr>
        <w:t xml:space="preserve">currency);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sz w:val="22"/>
        </w:rPr>
      </w:pPr>
      <w:r>
        <w:rPr>
          <w:b/>
          <w:sz w:val="22"/>
        </w:rPr>
        <w:t>Part 2.  Tax Representations.</w:t>
      </w:r>
    </w:p>
    <w:p>
      <w:pPr>
        <w:pStyle w:val="Normal"/>
        <w:spacing w:lineRule="exact" w:line="240" w:before="240" w:after="0"/>
        <w:ind w:start="720" w:end="720"/>
        <w:jc w:val="both"/>
        <w:rPr>
          <w:color w:val="800080"/>
          <w:sz w:val="22"/>
        </w:rPr>
      </w:pPr>
      <w:r>
        <w:rPr>
          <w:color w:val="800080"/>
          <w:sz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B’s Credit Support Provider</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rPr>
            </w:pPr>
            <w:r>
              <w:rPr>
                <w:color w:val="800080"/>
                <w:sz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rPr>
            </w:pPr>
            <w:r>
              <w:rPr>
                <w:color w:val="800080"/>
                <w:sz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rPr>
            </w:pPr>
            <w:r>
              <w:rPr>
                <w:color w:val="800080"/>
                <w:sz w:val="22"/>
              </w:rPr>
              <w:t>Calgary, Alberta  T2P 4H2</w:t>
            </w:r>
          </w:p>
          <w:p>
            <w:pPr>
              <w:pStyle w:val="Normal"/>
              <w:tabs>
                <w:tab w:val="clear" w:pos="720"/>
                <w:tab w:val="left" w:pos="4230" w:leader="none"/>
                <w:tab w:val="left" w:pos="9360" w:leader="none"/>
              </w:tabs>
              <w:spacing w:lineRule="exact" w:line="240"/>
              <w:jc w:val="both"/>
              <w:rPr>
                <w:color w:val="800080"/>
                <w:sz w:val="22"/>
              </w:rPr>
            </w:pPr>
            <w:r>
              <w:rPr>
                <w:color w:val="800080"/>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u w:val="single"/>
              </w:rPr>
            </w:pPr>
            <w:r>
              <w:rPr>
                <w:color w:val="800080"/>
                <w:sz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rPr>
            </w:pPr>
            <w:r>
              <w:rPr>
                <w:color w:val="800080"/>
                <w:sz w:val="22"/>
              </w:rPr>
              <w:t>Telephone No.:  (403) 974-6700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r>
        <w:br w:type="page"/>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Dynegy Canada Inc.</w:t>
            </w:r>
          </w:p>
          <w:p>
            <w:pPr>
              <w:pStyle w:val="Normal"/>
              <w:keepNext w:val="true"/>
              <w:tabs>
                <w:tab w:val="clear" w:pos="720"/>
                <w:tab w:val="left" w:pos="3762" w:leader="none"/>
                <w:tab w:val="left" w:pos="4230" w:leader="none"/>
                <w:tab w:val="left" w:pos="9360" w:leader="none"/>
              </w:tabs>
              <w:spacing w:lineRule="exact" w:line="240"/>
              <w:jc w:val="both"/>
              <w:rPr/>
            </w:pPr>
            <w:r>
              <w:rPr>
                <w:sz w:val="22"/>
              </w:rPr>
              <w:t>2200, 350 7</w:t>
            </w:r>
            <w:r>
              <w:rPr>
                <w:sz w:val="22"/>
                <w:vertAlign w:val="superscript"/>
              </w:rPr>
              <w:t>th</w:t>
            </w:r>
            <w:r>
              <w:rPr>
                <w:sz w:val="22"/>
              </w:rPr>
              <w:t xml:space="preserve"> Avenue, Southwest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Calgary, Alberta  T2P 3N9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(ii) Guaranty dated as of the date hereof by Dynegy Inc. in favor of Party A as beneficiary thereof in the form attached hereto as </w:t>
      </w:r>
      <w:r>
        <w:rPr>
          <w:sz w:val="22"/>
          <w:u w:val="single"/>
        </w:rPr>
        <w:t>Exhibit B</w:t>
      </w:r>
      <w:r>
        <w:rPr>
          <w:sz w:val="22"/>
        </w:rPr>
        <w:t xml:space="preserve">, and (iii) ISDA Credit Support Annex attached hereto as </w:t>
      </w:r>
      <w:r>
        <w:rPr>
          <w:sz w:val="22"/>
          <w:u w:val="single"/>
        </w:rPr>
        <w:t>Annex A</w:t>
      </w:r>
      <w:r>
        <w:rPr>
          <w:sz w:val="22"/>
        </w:rPr>
        <w:t>.</w:t>
      </w:r>
    </w:p>
    <w:p>
      <w:pPr>
        <w:pStyle w:val="Normal"/>
        <w:spacing w:lineRule="exact" w:line="240" w:before="240" w:after="0"/>
        <w:ind w:firstLine="72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w:t>
      </w:r>
      <w:r>
        <w:rPr>
          <w:color w:val="000000"/>
          <w:sz w:val="22"/>
        </w:rPr>
        <w:t>, Dynegy Inc.</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w:t>
      </w:r>
      <w:r>
        <w:rPr>
          <w:b/>
          <w:color w:val="800080"/>
          <w:sz w:val="22"/>
        </w:rPr>
        <w:t>Province of Alberta and the substantive federal laws of Canada</w:t>
      </w:r>
      <w:r>
        <w:rPr>
          <w:b/>
          <w:sz w:val="22"/>
        </w:rPr>
        <w:t xml:space="preserve">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spacing w:lineRule="exact" w:line="240" w:before="240" w:after="0"/>
        <w:ind w:firstLine="720" w:start="720" w:end="0"/>
        <w:jc w:val="both"/>
        <w:rPr/>
      </w:pPr>
      <w:r>
        <w:rPr>
          <w:sz w:val="22"/>
        </w:rPr>
        <w:t>(b)</w:t>
        <w:tab/>
      </w:r>
      <w:r>
        <w:rPr>
          <w:b/>
          <w:sz w:val="22"/>
        </w:rPr>
        <w:t>Jurisdiction.</w:t>
      </w:r>
      <w:r>
        <w:rPr>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r>
        <w:br w:type="page"/>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it is exposed in the conduct of its business to the risk of variations in weather and is entering into relevant Transactions to manage or offset such risks.</w:t>
      </w:r>
    </w:p>
    <w:p>
      <w:pPr>
        <w:pStyle w:val="Normal"/>
        <w:spacing w:lineRule="exact" w:line="240" w:before="240" w:after="0"/>
        <w:ind w:firstLine="720" w:start="720" w:end="0"/>
        <w:jc w:val="both"/>
        <w:rPr/>
      </w:pPr>
      <w:r>
        <w:rPr>
          <w:sz w:val="22"/>
        </w:rPr>
        <w:t>(h)</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(i)</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800080"/>
          <w:sz w:val="22"/>
        </w:rPr>
        <w:t>(j)</w:t>
        <w:tab/>
      </w:r>
      <w:r>
        <w:rPr>
          <w:b/>
          <w:color w:val="800080"/>
          <w:sz w:val="22"/>
        </w:rPr>
        <w:t>Canadian Securities Acts.</w:t>
      </w:r>
      <w:r>
        <w:rPr>
          <w:color w:val="800080"/>
          <w:sz w:val="22"/>
        </w:rPr>
        <w:t xml:space="preserve">  (i) Each Transaction shall constitute an “OTC Derivative” as defined in the </w:t>
      </w:r>
      <w:r>
        <w:rPr>
          <w:i/>
          <w:color w:val="800080"/>
          <w:sz w:val="22"/>
        </w:rPr>
        <w:t>Securities Act</w:t>
      </w:r>
      <w:r>
        <w:rPr>
          <w:color w:val="800080"/>
          <w:sz w:val="22"/>
        </w:rPr>
        <w:t xml:space="preserve"> (Alberta) and the </w:t>
      </w:r>
      <w:r>
        <w:rPr>
          <w:i/>
          <w:color w:val="800080"/>
          <w:sz w:val="22"/>
        </w:rPr>
        <w:t>Securities Act</w:t>
      </w:r>
      <w:r>
        <w:rPr>
          <w:color w:val="800080"/>
          <w:sz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color w:val="800080"/>
          <w:sz w:val="22"/>
        </w:rPr>
        <w:t>(m)</w:t>
        <w:tab/>
      </w:r>
      <w:r>
        <w:rPr>
          <w:b/>
          <w:color w:val="800080"/>
          <w:sz w:val="22"/>
        </w:rPr>
        <w:t>Maximum Rate; Disclosure, etc.</w:t>
      </w:r>
      <w:r>
        <w:rPr>
          <w:color w:val="800080"/>
          <w:sz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r>
        <w:br w:type="page"/>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r>
        <w:br w:type="page"/>
      </w:r>
    </w:p>
    <w:p>
      <w:pPr>
        <w:pStyle w:val="Normal"/>
        <w:jc w:val="both"/>
        <w:rPr>
          <w:sz w:val="22"/>
        </w:rPr>
      </w:pPr>
      <w:r>
        <w:rPr>
          <w:sz w:val="22"/>
        </w:rPr>
      </w:r>
    </w:p>
    <w:p>
      <w:pPr>
        <w:pStyle w:val="Header"/>
        <w:widowControl/>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color w:val="800080"/>
                <w:sz w:val="22"/>
              </w:rPr>
            </w:pPr>
            <w:r>
              <w:rPr>
                <w:b/>
                <w:color w:val="800080"/>
                <w:sz w:val="22"/>
              </w:rPr>
              <w:t>ENRON CANADA CORP.</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color w:val="FF0000"/>
                <w:sz w:val="22"/>
              </w:rPr>
              <w:t>DYNEGY CANADA INC.</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rPr>
            </w:pPr>
            <w:r>
              <w:rPr>
                <w:sz w:val="22"/>
              </w:rPr>
            </w:r>
          </w:p>
        </w:tc>
        <w:tc>
          <w:tcPr>
            <w:tcW w:w="4788" w:type="dxa"/>
            <w:tcBorders/>
          </w:tcPr>
          <w:p>
            <w:pPr>
              <w:pStyle w:val="Normal"/>
              <w:snapToGrid w:val="false"/>
              <w:spacing w:lineRule="exact" w:line="240"/>
              <w:jc w:val="both"/>
              <w:rPr>
                <w:color w:val="800080"/>
                <w:sz w:val="22"/>
              </w:rPr>
            </w:pPr>
            <w:r>
              <w:rPr>
                <w:color w:val="800080"/>
                <w:sz w:val="22"/>
              </w:rPr>
            </w:r>
          </w:p>
          <w:p>
            <w:pPr>
              <w:pStyle w:val="Normal"/>
              <w:spacing w:lineRule="exact" w:line="240"/>
              <w:jc w:val="both"/>
              <w:rPr/>
            </w:pPr>
            <w:r>
              <w:rPr>
                <w:color w:val="800080"/>
                <w:sz w:val="22"/>
              </w:rPr>
              <w:t>[By:</w:t>
              <w:tab/>
            </w:r>
            <w:r>
              <w:rPr>
                <w:color w:val="800080"/>
                <w:sz w:val="22"/>
                <w:u w:val="single"/>
              </w:rPr>
              <w:tab/>
              <w:tab/>
              <w:tab/>
              <w:tab/>
              <w:tab/>
            </w:r>
          </w:p>
          <w:p>
            <w:pPr>
              <w:pStyle w:val="Normal"/>
              <w:spacing w:lineRule="exact" w:line="240"/>
              <w:jc w:val="both"/>
              <w:rPr>
                <w:color w:val="800080"/>
                <w:sz w:val="22"/>
              </w:rPr>
            </w:pPr>
            <w:r>
              <w:rPr>
                <w:color w:val="800080"/>
                <w:sz w:val="22"/>
              </w:rPr>
              <w:t>Name:</w:t>
              <w:tab/>
            </w:r>
            <w:r>
              <w:rPr>
                <w:color w:val="800080"/>
                <w:sz w:val="22"/>
                <w:u w:val="single"/>
              </w:rPr>
              <w:tab/>
              <w:tab/>
              <w:tab/>
              <w:tab/>
              <w:tab/>
            </w:r>
          </w:p>
          <w:p>
            <w:pPr>
              <w:pStyle w:val="Normal"/>
              <w:spacing w:lineRule="exact" w:line="240"/>
              <w:jc w:val="both"/>
              <w:rPr/>
            </w:pPr>
            <w:r>
              <w:rPr>
                <w:color w:val="800080"/>
                <w:sz w:val="22"/>
              </w:rPr>
              <w:t>Title:</w:t>
              <w:tab/>
            </w:r>
            <w:r>
              <w:rPr>
                <w:color w:val="800080"/>
                <w:sz w:val="22"/>
                <w:u w:val="single"/>
              </w:rPr>
              <w:tab/>
              <w:tab/>
              <w:tab/>
              <w:tab/>
              <w:tab/>
            </w:r>
          </w:p>
          <w:p>
            <w:pPr>
              <w:pStyle w:val="Normal"/>
              <w:spacing w:lineRule="exact" w:line="240"/>
              <w:jc w:val="both"/>
              <w:rPr>
                <w:sz w:val="22"/>
              </w:rPr>
            </w:pPr>
            <w:r>
              <w:rPr>
                <w:color w:val="800080"/>
                <w:sz w:val="22"/>
              </w:rPr>
              <w:t xml:space="preserve">Date:     </w:t>
            </w:r>
            <w:r>
              <w:rPr>
                <w:color w:val="800080"/>
                <w:sz w:val="22"/>
                <w:u w:val="single"/>
              </w:rPr>
              <w:tab/>
              <w:tab/>
              <w:tab/>
              <w:tab/>
              <w:tab/>
              <w:t>]</w:t>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B</w:t>
        <w:tab/>
        <w:t>FORM OF GUARANTY (PARTY B)</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199__</w:t>
      </w:r>
    </w:p>
    <w:p>
      <w:pPr>
        <w:pStyle w:val="Normal"/>
        <w:jc w:val="center"/>
        <w:rPr>
          <w:b/>
          <w:sz w:val="22"/>
        </w:rPr>
      </w:pPr>
      <w:r>
        <w:rPr>
          <w:b/>
          <w:sz w:val="22"/>
        </w:rPr>
      </w:r>
    </w:p>
    <w:p>
      <w:pPr>
        <w:pStyle w:val="Normal"/>
        <w:jc w:val="center"/>
        <w:rPr>
          <w:b/>
          <w:sz w:val="22"/>
        </w:rPr>
      </w:pPr>
      <w:r>
        <w:rPr>
          <w:b/>
          <w:sz w:val="22"/>
        </w:rPr>
      </w:r>
    </w:p>
    <w:p>
      <w:pPr>
        <w:pStyle w:val="Normal"/>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color w:val="800080"/>
                <w:sz w:val="22"/>
              </w:rPr>
            </w:pPr>
            <w:r>
              <w:rPr>
                <w:b/>
                <w:color w:val="800080"/>
                <w:sz w:val="22"/>
              </w:rPr>
              <w:t>ENRON CANADA CORP., a corporation organized under the law of the Province of Alberta</w:t>
            </w:r>
          </w:p>
          <w:p>
            <w:pPr>
              <w:pStyle w:val="Normal"/>
              <w:tabs>
                <w:tab w:val="clear" w:pos="720"/>
                <w:tab w:val="center" w:pos="5760" w:leader="none"/>
              </w:tabs>
              <w:jc w:val="center"/>
              <w:rPr>
                <w:b/>
                <w:color w:val="800080"/>
                <w:sz w:val="22"/>
              </w:rPr>
            </w:pPr>
            <w:r>
              <w:rPr>
                <w:b/>
                <w:color w:val="800080"/>
                <w:sz w:val="22"/>
              </w:rPr>
              <w:t>(“Party A”), and</w:t>
            </w:r>
          </w:p>
        </w:tc>
        <w:tc>
          <w:tcPr>
            <w:tcW w:w="4788" w:type="dxa"/>
            <w:tcBorders/>
          </w:tcPr>
          <w:p>
            <w:pPr>
              <w:pStyle w:val="Normal"/>
              <w:tabs>
                <w:tab w:val="clear" w:pos="720"/>
                <w:tab w:val="center" w:pos="5760" w:leader="none"/>
              </w:tabs>
              <w:spacing w:before="240" w:after="0"/>
              <w:jc w:val="center"/>
              <w:rPr>
                <w:b/>
                <w:color w:val="800080"/>
                <w:sz w:val="22"/>
              </w:rPr>
            </w:pPr>
            <w:r>
              <w:rPr>
                <w:b/>
                <w:color w:val="800080"/>
                <w:sz w:val="22"/>
              </w:rPr>
              <w:t>DYNEGY CANADA INC., a corporation organized under the law of the Province of Alberta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keepNext w:val="true"/>
              <w:jc w:val="both"/>
              <w:rPr>
                <w:sz w:val="22"/>
              </w:rPr>
            </w:pPr>
            <w:r>
              <w:rPr>
                <w:sz w:val="22"/>
              </w:rPr>
              <w:t>(B)</w:t>
            </w:r>
          </w:p>
        </w:tc>
        <w:tc>
          <w:tcPr>
            <w:tcW w:w="2880" w:type="dxa"/>
            <w:tcBorders/>
          </w:tcPr>
          <w:p>
            <w:pPr>
              <w:pStyle w:val="Normal"/>
              <w:keepNext w:val="true"/>
              <w:rPr>
                <w:sz w:val="22"/>
              </w:rPr>
            </w:pPr>
            <w:r>
              <w:rPr>
                <w:sz w:val="22"/>
              </w:rPr>
              <w:t>Negotiable debt obligations issued by the U.S. Treasury Department having an original maturity at issuance of not more than one year (“Government Obligations”)</w:t>
            </w:r>
          </w:p>
          <w:p>
            <w:pPr>
              <w:pStyle w:val="Normal"/>
              <w:keepNext w:val="true"/>
              <w:rPr>
                <w:sz w:val="22"/>
              </w:rPr>
            </w:pPr>
            <w:r>
              <w:rPr>
                <w:sz w:val="22"/>
              </w:rPr>
            </w:r>
          </w:p>
        </w:tc>
        <w:tc>
          <w:tcPr>
            <w:tcW w:w="1440" w:type="dxa"/>
            <w:tcBorders/>
          </w:tcPr>
          <w:p>
            <w:pPr>
              <w:pStyle w:val="Normal"/>
              <w:keepNext w:val="true"/>
              <w:jc w:val="center"/>
              <w:rPr>
                <w:sz w:val="22"/>
              </w:rPr>
            </w:pPr>
            <w:r>
              <w:rPr>
                <w:sz w:val="22"/>
              </w:rPr>
              <w:t>[  ]</w:t>
            </w:r>
          </w:p>
        </w:tc>
        <w:tc>
          <w:tcPr>
            <w:tcW w:w="1440" w:type="dxa"/>
            <w:tcBorders/>
          </w:tcPr>
          <w:p>
            <w:pPr>
              <w:pStyle w:val="Normal"/>
              <w:keepNext w:val="true"/>
              <w:jc w:val="center"/>
              <w:rPr>
                <w:sz w:val="22"/>
              </w:rPr>
            </w:pPr>
            <w:r>
              <w:rPr>
                <w:sz w:val="22"/>
              </w:rPr>
              <w:t>[  ]</w:t>
            </w:r>
          </w:p>
        </w:tc>
        <w:tc>
          <w:tcPr>
            <w:tcW w:w="1365" w:type="dxa"/>
            <w:tcBorders/>
          </w:tcPr>
          <w:p>
            <w:pPr>
              <w:pStyle w:val="Normal"/>
              <w:keepNext w:val="true"/>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its Credit Support Provider</w:t>
      </w:r>
      <w:r>
        <w:rPr>
          <w:color w:val="FF0000"/>
          <w:sz w:val="22"/>
        </w:rPr>
        <w:t xml:space="preserve"> </w:t>
      </w:r>
      <w:r>
        <w:rPr>
          <w:sz w:val="22"/>
        </w:rPr>
        <w:t>has a Credit Rating</w:t>
      </w:r>
      <w:r>
        <w:rPr>
          <w:color w:val="000000"/>
          <w:sz w:val="22"/>
        </w:rPr>
        <w:t xml:space="preserve"> from S&amp;P</w:t>
      </w:r>
      <w:r>
        <w:rPr>
          <w:sz w:val="22"/>
        </w:rPr>
        <w:t xml:space="preserve"> and the lowest Credit Rating for its Credit Support Provider is “</w:t>
      </w:r>
      <w:r>
        <w:rPr>
          <w:color w:val="000000"/>
          <w:sz w:val="22"/>
        </w:rPr>
        <w:t>BBB-</w:t>
      </w:r>
      <w:r>
        <w:rPr>
          <w:sz w:val="22"/>
        </w:rPr>
        <w:t>” or higher by S&amp;P.</w:t>
      </w:r>
    </w:p>
    <w:p>
      <w:pPr>
        <w:pStyle w:val="Normal"/>
        <w:ind w:start="1080" w:end="0"/>
        <w:jc w:val="both"/>
        <w:rPr>
          <w:sz w:val="22"/>
        </w:rPr>
      </w:pPr>
      <w:r>
        <w:rPr>
          <w:sz w:val="22"/>
        </w:rPr>
      </w:r>
    </w:p>
    <w:p>
      <w:pPr>
        <w:pStyle w:val="Normal"/>
        <w:ind w:start="1080" w:end="0"/>
        <w:jc w:val="both"/>
        <w:rPr/>
      </w:pPr>
      <w:r>
        <w:rPr>
          <w:sz w:val="22"/>
        </w:rPr>
        <w:t xml:space="preserve">(2)  Posted Collateral may be held only in the following jurisdictions:  Any jurisdiction in the United </w:t>
      </w:r>
      <w:r>
        <w:rPr>
          <w:color w:val="000000"/>
          <w:sz w:val="22"/>
        </w:rPr>
        <w:t>States.</w:t>
      </w:r>
    </w:p>
    <w:p>
      <w:pPr>
        <w:pStyle w:val="Normal"/>
        <w:ind w:start="720" w:end="0"/>
        <w:jc w:val="both"/>
        <w:rPr>
          <w:color w:val="000000"/>
          <w:sz w:val="22"/>
        </w:rPr>
      </w:pPr>
      <w:r>
        <w:rPr>
          <w:color w:val="000000"/>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sz w:val="22"/>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Support Provider’s Credit Rating is below “BBB-” by S&amp;P or its Credit Support Provider fails to have a Credit Rating from S&amp;P</w:t>
      </w:r>
      <w:r>
        <w:rPr>
          <w:color w:val="000000"/>
          <w:sz w:val="22"/>
        </w:rPr>
        <w: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DYNEGY CANADA INC., a Calgary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Dynegy Canada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2200, 350 7</w:t>
            </w:r>
            <w:r>
              <w:rPr>
                <w:color w:val="000000"/>
                <w:sz w:val="22"/>
                <w:vertAlign w:val="superscript"/>
              </w:rPr>
              <w:t>th</w:t>
            </w:r>
            <w:r>
              <w:rPr>
                <w:color w:val="000000"/>
                <w:sz w:val="22"/>
              </w:rPr>
              <w:t xml:space="preserve"> Avenue, Southwest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Calgary, Alberta  T2P 3N9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rPr>
      </w:pPr>
      <w:r>
        <w:rPr>
          <w:sz w:val="22"/>
        </w:rPr>
      </w:r>
    </w:p>
    <w:p>
      <w:pPr>
        <w:pStyle w:val="Normal"/>
        <w:spacing w:lineRule="exact" w:line="240"/>
        <w:ind w:end="720"/>
        <w:jc w:val="center"/>
        <w:rPr>
          <w:b/>
          <w:sz w:val="22"/>
        </w:rPr>
      </w:pPr>
      <w:r>
        <w:rPr>
          <w:b/>
          <w:sz w:val="22"/>
          <w:u w:val="single"/>
        </w:rPr>
        <w:t xml:space="preserve">EXHIBIT </w:t>
      </w:r>
      <w:r>
        <w:rPr>
          <w:b/>
          <w:color w:val="FF0000"/>
          <w:sz w:val="22"/>
          <w:u w:val="single"/>
        </w:rPr>
        <w:t>B</w:t>
      </w:r>
    </w:p>
    <w:p>
      <w:pPr>
        <w:pStyle w:val="Normal"/>
        <w:spacing w:lineRule="exact" w:line="240"/>
        <w:ind w:end="720"/>
        <w:jc w:val="center"/>
        <w:rPr>
          <w:b/>
          <w:sz w:val="22"/>
        </w:rPr>
      </w:pPr>
      <w:r>
        <w:rPr>
          <w:b/>
          <w:sz w:val="22"/>
        </w:rPr>
      </w:r>
    </w:p>
    <w:p>
      <w:pPr>
        <w:pStyle w:val="Normal"/>
        <w:spacing w:lineRule="exact" w:line="240"/>
        <w:ind w:end="720"/>
        <w:jc w:val="center"/>
        <w:rPr>
          <w:b/>
          <w:color w:val="000000"/>
          <w:sz w:val="22"/>
        </w:rPr>
      </w:pPr>
      <w:r>
        <w:rPr>
          <w:b/>
          <w:color w:val="FF0000"/>
          <w:sz w:val="22"/>
        </w:rPr>
        <w:t>DYNEGY INC.</w:t>
      </w:r>
    </w:p>
    <w:p>
      <w:pPr>
        <w:pStyle w:val="Normal"/>
        <w:ind w:end="720"/>
        <w:jc w:val="center"/>
        <w:rPr>
          <w:b/>
          <w:color w:val="000000"/>
          <w:sz w:val="22"/>
        </w:rPr>
      </w:pPr>
      <w:r>
        <w:rPr>
          <w:b/>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w:t>
      </w:r>
      <w:r>
        <w:rPr>
          <w:sz w:val="22"/>
          <w:u w:val="single"/>
        </w:rPr>
        <w:tab/>
      </w:r>
      <w:r>
        <w:rPr>
          <w:sz w:val="22"/>
        </w:rPr>
        <w:t xml:space="preserve">, is made and entered into by </w:t>
      </w:r>
      <w:r>
        <w:rPr>
          <w:b/>
          <w:sz w:val="22"/>
        </w:rPr>
        <w:t>DYNEGY INC.</w:t>
      </w:r>
      <w:r>
        <w:rPr>
          <w:sz w:val="22"/>
        </w:rPr>
        <w:t>, a Delaware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DYNEGY CANADA INC., a wholly owned subsidiary of Guarantor (“Counterparty”) and </w:t>
      </w:r>
      <w:r>
        <w:rPr>
          <w:color w:val="FF0000"/>
          <w:sz w:val="22"/>
        </w:rPr>
        <w:t>[</w:t>
      </w:r>
      <w:r>
        <w:rPr>
          <w:caps/>
          <w:sz w:val="22"/>
        </w:rPr>
        <w:t>Enron NORTH AMERICA Corp.</w:t>
      </w:r>
      <w:r>
        <w:rPr>
          <w:sz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Delaware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188"/>
        <w:gridCol w:w="4140"/>
        <w:gridCol w:w="1620"/>
        <w:gridCol w:w="3150"/>
      </w:tblGrid>
      <w:tr>
        <w:trPr/>
        <w:tc>
          <w:tcPr>
            <w:tcW w:w="1188" w:type="dxa"/>
            <w:tcBorders/>
          </w:tcPr>
          <w:p>
            <w:pPr>
              <w:pStyle w:val="Normal"/>
              <w:keepNext w:val="true"/>
              <w:keepLines/>
              <w:spacing w:lineRule="atLeast" w:line="240"/>
              <w:rPr>
                <w:sz w:val="22"/>
              </w:rPr>
            </w:pPr>
            <w:r>
              <w:rPr>
                <w:sz w:val="22"/>
              </w:rPr>
              <w:t>To Enron:</w:t>
            </w:r>
          </w:p>
        </w:tc>
        <w:tc>
          <w:tcPr>
            <w:tcW w:w="4140" w:type="dxa"/>
            <w:tcBorders/>
          </w:tcPr>
          <w:p>
            <w:pPr>
              <w:pStyle w:val="Normal"/>
              <w:keepNext w:val="true"/>
              <w:keepLines/>
              <w:spacing w:lineRule="atLeast" w:line="240"/>
              <w:rPr>
                <w:sz w:val="22"/>
              </w:rPr>
            </w:pPr>
            <w:r>
              <w:rPr>
                <w:sz w:val="22"/>
              </w:rPr>
              <w:t>Enron Canada Corp.</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Header"/>
              <w:keepNext w:val="true"/>
              <w:keepLines/>
              <w:widowControl/>
              <w:tabs>
                <w:tab w:val="clear" w:pos="4320"/>
                <w:tab w:val="clear" w:pos="8640"/>
                <w:tab w:val="right" w:pos="2988" w:leader="none"/>
              </w:tabs>
              <w:spacing w:lineRule="atLeast" w:line="240"/>
              <w:rPr/>
            </w:pPr>
            <w:r>
              <w:rPr/>
              <w:t>Dynegy Inc.</w:t>
            </w:r>
          </w:p>
        </w:tc>
      </w:tr>
      <w:tr>
        <w:trPr/>
        <w:tc>
          <w:tcPr>
            <w:tcW w:w="1188" w:type="dxa"/>
            <w:tcBorders/>
          </w:tcPr>
          <w:p>
            <w:pPr>
              <w:pStyle w:val="Normal"/>
              <w:keepNext w:val="true"/>
              <w:keepLines/>
              <w:snapToGrid w:val="false"/>
              <w:spacing w:lineRule="atLeast" w:line="240"/>
              <w:rPr>
                <w:sz w:val="22"/>
              </w:rPr>
            </w:pPr>
            <w:r>
              <w:rPr>
                <w:sz w:val="22"/>
              </w:rPr>
            </w:r>
          </w:p>
        </w:tc>
        <w:tc>
          <w:tcPr>
            <w:tcW w:w="414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188" w:type="dxa"/>
            <w:tcBorders/>
          </w:tcPr>
          <w:p>
            <w:pPr>
              <w:pStyle w:val="Normal"/>
              <w:keepNext w:val="true"/>
              <w:keepLines/>
              <w:snapToGrid w:val="false"/>
              <w:spacing w:lineRule="atLeast" w:line="240"/>
              <w:rPr>
                <w:sz w:val="22"/>
              </w:rPr>
            </w:pPr>
            <w:r>
              <w:rPr>
                <w:sz w:val="22"/>
              </w:rPr>
            </w:r>
          </w:p>
        </w:tc>
        <w:tc>
          <w:tcPr>
            <w:tcW w:w="414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188" w:type="dxa"/>
            <w:tcBorders/>
          </w:tcPr>
          <w:p>
            <w:pPr>
              <w:pStyle w:val="Normal"/>
              <w:keepNext w:val="true"/>
              <w:keepLines/>
              <w:snapToGrid w:val="false"/>
              <w:spacing w:lineRule="atLeast" w:line="240"/>
              <w:rPr>
                <w:sz w:val="22"/>
              </w:rPr>
            </w:pPr>
            <w:r>
              <w:rPr>
                <w:sz w:val="22"/>
              </w:rPr>
            </w:r>
          </w:p>
        </w:tc>
        <w:tc>
          <w:tcPr>
            <w:tcW w:w="414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188" w:type="dxa"/>
            <w:tcBorders/>
          </w:tcPr>
          <w:p>
            <w:pPr>
              <w:pStyle w:val="Normal"/>
              <w:keepNext w:val="true"/>
              <w:keepLines/>
              <w:snapToGrid w:val="false"/>
              <w:spacing w:lineRule="atLeast" w:line="240"/>
              <w:rPr>
                <w:sz w:val="22"/>
              </w:rPr>
            </w:pPr>
            <w:r>
              <w:rPr>
                <w:sz w:val="22"/>
              </w:rPr>
            </w:r>
          </w:p>
        </w:tc>
        <w:tc>
          <w:tcPr>
            <w:tcW w:w="414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date first above written.</w:t>
      </w:r>
    </w:p>
    <w:p>
      <w:pPr>
        <w:pStyle w:val="Normal"/>
        <w:spacing w:lineRule="atLeast" w:line="240"/>
        <w:jc w:val="both"/>
        <w:rPr>
          <w:b/>
          <w:sz w:val="22"/>
        </w:rPr>
      </w:pPr>
      <w:r>
        <w:rPr>
          <w:b/>
          <w:sz w:val="22"/>
        </w:rPr>
      </w:r>
    </w:p>
    <w:p>
      <w:pPr>
        <w:pStyle w:val="Normal"/>
        <w:spacing w:lineRule="exact" w:line="240"/>
        <w:ind w:start="5040" w:end="0"/>
        <w:jc w:val="both"/>
        <w:rPr>
          <w:sz w:val="22"/>
        </w:rPr>
      </w:pPr>
      <w:r>
        <w:rPr>
          <w:b/>
          <w:sz w:val="22"/>
        </w:rPr>
        <w:t>DYNEGY INC.</w:t>
      </w:r>
    </w:p>
    <w:p>
      <w:pPr>
        <w:pStyle w:val="Normal"/>
        <w:spacing w:lineRule="exact" w:line="240"/>
        <w:ind w:start="5040" w:end="0"/>
        <w:jc w:val="both"/>
        <w:rPr>
          <w:sz w:val="22"/>
        </w:rPr>
      </w:pPr>
      <w:r>
        <w:rPr>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/mnt/main-storage/datasets/enron-docs/doc/784ctr.doc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2000-02-29T20:31:00Z</dcterms:created>
  <dc:creator>mheard</dc:creator>
  <dc:description/>
  <dc:language>en-CA</dc:language>
  <cp:lastModifiedBy>Tana Jones</cp:lastModifiedBy>
  <cp:lastPrinted>2000-03-01T09:52:00Z</cp:lastPrinted>
  <dcterms:modified xsi:type="dcterms:W3CDTF">2000-03-01T13:53:00Z</dcterms:modified>
  <cp:revision>28</cp:revision>
  <dc:subject/>
  <dc:title>ISDA Multicurrency Agreement</dc:title>
</cp:coreProperties>
</file>