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January __,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TXU ENERGY TRADING COMPANY, a Texas corporation, formerly known as Enserch Energy Services, Inc. (“Counterparty”) and ENRON NORTH AMERICA CORP. (“Enron”), a wholly owned subsidiary of Guarantor, have entered into and are contemplating entering into one or more swap, option or other financially-settled derivative transactions, which transactions will be evidenced by one or more swap agreements, confirmations and/or master agreements, including without limitation, the ISDA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BodyTextIndent2"/>
        <w:widowControl/>
        <w:tabs>
          <w:tab w:val="clear" w:pos="1350"/>
        </w:tabs>
        <w:spacing w:lineRule="atLeast" w:line="240"/>
        <w:rPr/>
      </w:pPr>
      <w:r>
        <w:rPr/>
        <w:t>WHEREAS, Guarantor executed a Guaranty dated effective as of December 16, 1996 (the “Prior Guaranty”), as such guaranty may have been modified, amended and supplemented from time to time, guaranteeing Enron’s obligations to Counterparty under the Master Agreement dated October 19, 1995 between Enron and Counterparty;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desires to substitute and replace this Guaranty for the Prior Guaranty and Counterparty agrees to such substitution and replacement;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ind w:hanging="0" w:end="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rPr>
      </w:pPr>
      <w:r>
        <w:rPr>
          <w:sz w:val="22"/>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Header"/>
        <w:tabs>
          <w:tab w:val="left" w:pos="720" w:leader="none"/>
          <w:tab w:val="center" w:pos="4320" w:leader="none"/>
          <w:tab w:val="right" w:pos="8640" w:leader="none"/>
        </w:tabs>
        <w:ind w:firstLine="720" w:end="0"/>
        <w:jc w:val="both"/>
        <w:rPr/>
      </w:pPr>
      <w:r>
        <w:rPr>
          <w:sz w:val="22"/>
        </w:rPr>
        <w:t>7.</w:t>
        <w:tab/>
        <w:t xml:space="preserve">  </w:t>
      </w:r>
      <w:r>
        <w:rPr>
          <w:sz w:val="22"/>
          <w:u w:val="single"/>
        </w:rPr>
        <w:t>PRIOR GUARANTY</w:t>
      </w:r>
      <w:r>
        <w:rPr>
          <w:sz w:val="22"/>
        </w:rPr>
        <w:t>.  Upon execution and delivery of this Guaranty by Guarantor and Counterparty, the Prior Guaranty shall become null and void and of no further force or effect.  Upon receipt of an originally executed copy of this Guaranty, Counterparty agrees to promptly return the original of the Prior Guaranty to Enron.  It is expressly acknowledged that this Guaranty is given in replacement and substitution of the Prior Guaranty and shall become operative only upon termination of the Prior Guaranty as set forth in this Paragraph 7.</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198" w:type="dxa"/>
        <w:jc w:val="start"/>
        <w:tblInd w:w="0" w:type="dxa"/>
        <w:tblLayout w:type="fixed"/>
        <w:tblCellMar>
          <w:top w:w="0" w:type="dxa"/>
          <w:start w:w="108" w:type="dxa"/>
          <w:bottom w:w="0" w:type="dxa"/>
          <w:end w:w="108" w:type="dxa"/>
        </w:tblCellMar>
      </w:tblPr>
      <w:tblGrid>
        <w:gridCol w:w="1818"/>
        <w:gridCol w:w="3150"/>
        <w:gridCol w:w="1530"/>
        <w:gridCol w:w="2700"/>
      </w:tblGrid>
      <w:tr>
        <w:trPr/>
        <w:tc>
          <w:tcPr>
            <w:tcW w:w="1818" w:type="dxa"/>
            <w:tcBorders/>
          </w:tcPr>
          <w:p>
            <w:pPr>
              <w:pStyle w:val="Normal"/>
              <w:keepNext w:val="true"/>
              <w:keepLines/>
              <w:spacing w:lineRule="atLeast" w:line="240"/>
              <w:rPr>
                <w:color w:val="000000"/>
                <w:sz w:val="22"/>
              </w:rPr>
            </w:pPr>
            <w:r>
              <w:rPr>
                <w:color w:val="000000"/>
                <w:sz w:val="22"/>
              </w:rPr>
              <w:t>To Counterparty:</w:t>
            </w:r>
          </w:p>
        </w:tc>
        <w:tc>
          <w:tcPr>
            <w:tcW w:w="3150" w:type="dxa"/>
            <w:tcBorders/>
          </w:tcPr>
          <w:p>
            <w:pPr>
              <w:pStyle w:val="Normal"/>
              <w:keepNext w:val="true"/>
              <w:keepLines/>
              <w:tabs>
                <w:tab w:val="clear" w:pos="720"/>
                <w:tab w:val="left" w:pos="3132" w:leader="none"/>
              </w:tabs>
              <w:spacing w:lineRule="atLeast" w:line="240"/>
              <w:rPr>
                <w:color w:val="000000"/>
                <w:sz w:val="22"/>
              </w:rPr>
            </w:pPr>
            <w:r>
              <w:rPr>
                <w:color w:val="000000"/>
                <w:sz w:val="22"/>
              </w:rPr>
              <w:t>TXU Energy Trading Company</w:t>
            </w:r>
          </w:p>
        </w:tc>
        <w:tc>
          <w:tcPr>
            <w:tcW w:w="1530" w:type="dxa"/>
            <w:tcBorders/>
          </w:tcPr>
          <w:p>
            <w:pPr>
              <w:pStyle w:val="Normal"/>
              <w:keepNext w:val="true"/>
              <w:keepLines/>
              <w:spacing w:lineRule="atLeast" w:line="240"/>
              <w:rPr>
                <w:color w:val="000000"/>
                <w:sz w:val="22"/>
              </w:rPr>
            </w:pPr>
            <w:r>
              <w:rPr>
                <w:color w:val="000000"/>
                <w:sz w:val="22"/>
              </w:rPr>
              <w:t>To Guarantor:</w:t>
            </w:r>
          </w:p>
        </w:tc>
        <w:tc>
          <w:tcPr>
            <w:tcW w:w="270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818" w:type="dxa"/>
            <w:tcBorders/>
          </w:tcPr>
          <w:p>
            <w:pPr>
              <w:pStyle w:val="Normal"/>
              <w:keepNext w:val="true"/>
              <w:keepLines/>
              <w:snapToGrid w:val="false"/>
              <w:spacing w:lineRule="atLeast" w:line="240"/>
              <w:rPr>
                <w:color w:val="000000"/>
                <w:sz w:val="22"/>
              </w:rPr>
            </w:pPr>
            <w:r>
              <w:rPr>
                <w:color w:val="000000"/>
                <w:sz w:val="22"/>
              </w:rPr>
            </w:r>
          </w:p>
        </w:tc>
        <w:tc>
          <w:tcPr>
            <w:tcW w:w="3150" w:type="dxa"/>
            <w:tcBorders/>
          </w:tcPr>
          <w:p>
            <w:pPr>
              <w:pStyle w:val="Normal"/>
              <w:keepNext w:val="true"/>
              <w:keepLines/>
              <w:tabs>
                <w:tab w:val="clear" w:pos="720"/>
                <w:tab w:val="left" w:pos="3132" w:leader="none"/>
              </w:tabs>
              <w:spacing w:lineRule="atLeast" w:line="240"/>
              <w:rPr>
                <w:color w:val="000000"/>
                <w:sz w:val="22"/>
              </w:rPr>
            </w:pPr>
            <w:r>
              <w:rPr>
                <w:color w:val="000000"/>
                <w:sz w:val="22"/>
              </w:rPr>
              <w:t>1601 Bryan, EP8</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270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818" w:type="dxa"/>
            <w:tcBorders/>
          </w:tcPr>
          <w:p>
            <w:pPr>
              <w:pStyle w:val="Normal"/>
              <w:keepNext w:val="true"/>
              <w:keepLines/>
              <w:snapToGrid w:val="false"/>
              <w:spacing w:lineRule="atLeast" w:line="240"/>
              <w:rPr>
                <w:color w:val="000000"/>
                <w:sz w:val="22"/>
              </w:rPr>
            </w:pPr>
            <w:r>
              <w:rPr>
                <w:color w:val="000000"/>
                <w:sz w:val="22"/>
              </w:rPr>
            </w:r>
          </w:p>
        </w:tc>
        <w:tc>
          <w:tcPr>
            <w:tcW w:w="3150" w:type="dxa"/>
            <w:tcBorders/>
          </w:tcPr>
          <w:p>
            <w:pPr>
              <w:pStyle w:val="Normal"/>
              <w:keepNext w:val="true"/>
              <w:keepLines/>
              <w:tabs>
                <w:tab w:val="clear" w:pos="720"/>
                <w:tab w:val="left" w:pos="3132" w:leader="none"/>
              </w:tabs>
              <w:spacing w:lineRule="atLeast" w:line="240"/>
              <w:rPr>
                <w:color w:val="000000"/>
                <w:sz w:val="22"/>
              </w:rPr>
            </w:pPr>
            <w:r>
              <w:rPr>
                <w:color w:val="000000"/>
                <w:sz w:val="22"/>
              </w:rPr>
              <w:t>Dallas, Texas  75201</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270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818" w:type="dxa"/>
            <w:tcBorders/>
          </w:tcPr>
          <w:p>
            <w:pPr>
              <w:pStyle w:val="Normal"/>
              <w:keepNext w:val="true"/>
              <w:keepLines/>
              <w:snapToGrid w:val="false"/>
              <w:spacing w:lineRule="atLeast" w:line="240"/>
              <w:rPr>
                <w:color w:val="000000"/>
                <w:sz w:val="22"/>
              </w:rPr>
            </w:pPr>
            <w:r>
              <w:rPr>
                <w:color w:val="000000"/>
                <w:sz w:val="22"/>
              </w:rPr>
            </w:r>
          </w:p>
        </w:tc>
        <w:tc>
          <w:tcPr>
            <w:tcW w:w="315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Corporate Credit &amp; Collections</w:t>
            </w:r>
          </w:p>
          <w:p>
            <w:pPr>
              <w:pStyle w:val="Normal"/>
              <w:keepNext w:val="true"/>
              <w:keepLines/>
              <w:tabs>
                <w:tab w:val="clear" w:pos="720"/>
                <w:tab w:val="left" w:pos="3132" w:leader="none"/>
              </w:tabs>
              <w:spacing w:lineRule="atLeast" w:line="240"/>
              <w:rPr>
                <w:color w:val="000000"/>
                <w:sz w:val="22"/>
              </w:rPr>
            </w:pPr>
            <w:r>
              <w:rPr>
                <w:color w:val="000000"/>
                <w:sz w:val="22"/>
              </w:rPr>
              <w:t>Fax No.:  (713) 659-7506</w:t>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270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818" w:type="dxa"/>
            <w:tcBorders/>
          </w:tcPr>
          <w:p>
            <w:pPr>
              <w:pStyle w:val="Normal"/>
              <w:keepNext w:val="true"/>
              <w:keepLines/>
              <w:snapToGrid w:val="false"/>
              <w:spacing w:lineRule="atLeast" w:line="240"/>
              <w:rPr>
                <w:color w:val="000000"/>
                <w:sz w:val="22"/>
              </w:rPr>
            </w:pPr>
            <w:r>
              <w:rPr>
                <w:color w:val="000000"/>
                <w:sz w:val="22"/>
              </w:rPr>
            </w:r>
          </w:p>
        </w:tc>
        <w:tc>
          <w:tcPr>
            <w:tcW w:w="315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270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including the Prior Guaranty.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IN WITNESS WHEREOF, the Guarantor has executed this Guaranty on </w:t>
        <w:tab/>
        <w:t>January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sz w:val="22"/>
        </w:rPr>
      </w:pPr>
      <w:r>
        <w:rPr>
          <w:sz w:val="22"/>
        </w:rPr>
        <w:t xml:space="preserve">Title:  </w:t>
      </w:r>
      <w:r>
        <w:rPr>
          <w:sz w:val="22"/>
          <w:u w:val="single"/>
        </w:rPr>
        <w:tab/>
        <w:tab/>
        <w:tab/>
        <w:tab/>
        <w:tab/>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odyTextIndent3">
    <w:name w:val="Body Text Indent 3"/>
    <w:basedOn w:val="Normal"/>
    <w:qFormat/>
    <w:pPr>
      <w:spacing w:lineRule="exact" w:line="240"/>
      <w:ind w:firstLine="720" w:start="720" w:end="0"/>
      <w:jc w:val="both"/>
    </w:pPr>
    <w:rPr>
      <w:sz w:val="22"/>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2000-01-19T14:29:00Z</dcterms:created>
  <dc:creator>tjones</dc:creator>
  <dc:description/>
  <dc:language>en-CA</dc:language>
  <cp:lastModifiedBy>tjones</cp:lastModifiedBy>
  <cp:lastPrinted>2000-01-19T15:10:00Z</cp:lastPrinted>
  <dcterms:modified xsi:type="dcterms:W3CDTF">2000-01-19T18:41:00Z</dcterms:modified>
  <cp:revision>3</cp:revision>
  <dc:subject/>
  <dc:title>ENRON CORP</dc:title>
</cp:coreProperties>
</file>