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u w:val="single"/>
        </w:rPr>
      </w:pPr>
      <w:r>
        <w:rPr>
          <w:rFonts w:cs="Times New Roman" w:ascii="Times New Roman" w:hAnsi="Times New Roman"/>
          <w:b/>
          <w:sz w:val="22"/>
          <w:u w:val="single"/>
        </w:rPr>
        <w:t>DRAFT OF 08/17/99</w:t>
      </w:r>
    </w:p>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TXU ENERGY TRADING COMPANY, a corporation organized under the law of the State of Texas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with respect to Party A, to Party A’s Credit Support only, and will apply with respect to Party B, to Party B’s Credit Support Provider only.</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A’s Credit Support Provider, U.S. $50,000,000 (or its equivalent in another currency); and with respect to Party B’s Credit Support Provider, U.S. $50,000,000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keepNext w:val="true"/>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keepNext w:val="true"/>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w:t>
        <w:tab/>
        <w:t>The following representation applies to Party A:</w:t>
      </w:r>
    </w:p>
    <w:p>
      <w:pPr>
        <w:pStyle w:val="Norma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A is a corporation organized under the laws of the State of Delaware.</w:t>
      </w:r>
    </w:p>
    <w:p>
      <w:pPr>
        <w:pStyle w:val="Norma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(ii)</w:t>
        <w:tab/>
        <w:t>The following representation applies to Party B:</w:t>
      </w:r>
    </w:p>
    <w:p>
      <w:pPr>
        <w:pStyle w:val="Norma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B is a corporation organized under the laws of the State of Texas.</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BodyTextIndent2"/>
        <w:widowControl/>
        <w:tabs>
          <w:tab w:val="clear" w:pos="1350"/>
        </w:tabs>
        <w:spacing w:lineRule="exact" w:line="240" w:before="240" w:after="0"/>
        <w:rPr>
          <w:rFonts w:ascii="Times New Roman" w:hAnsi="Times New Roman" w:cs="Times New Roman"/>
          <w:color w:val="000000"/>
        </w:rPr>
      </w:pPr>
      <w:r>
        <w:rPr>
          <w:rFonts w:cs="Times New Roman" w:ascii="Times New Roman" w:hAnsi="Times New Roman"/>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Party A’s Credit Support Provider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Party A’s Credit Support Provider</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B’s Credit Support Provider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Quarterly Unaudited Consolidated Financial Statement of Party B’s Credit Support Provider</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keepNext w:val="true"/>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Justified"/>
              <w:keepNext w:val="true"/>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TXU Energy Trading Company</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300 South St. Paul</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Dallas, Texas  75201-9990</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Contract Administrator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Facsimile No.:  (713) 659-7505</w:t>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(ii) Guaranty dated as of the date hereof by TXU Gas Company in favor of Party A as beneficiary thereof in the form attached hereto as </w:t>
      </w:r>
      <w:r>
        <w:rPr>
          <w:rFonts w:cs="Times New Roman" w:ascii="Times New Roman" w:hAnsi="Times New Roman"/>
          <w:sz w:val="22"/>
          <w:u w:val="single"/>
        </w:rPr>
        <w:t>Exhibit B</w:t>
      </w:r>
      <w:r>
        <w:rPr>
          <w:rFonts w:cs="Times New Roman" w:ascii="Times New Roman" w:hAnsi="Times New Roman"/>
          <w:sz w:val="22"/>
        </w:rPr>
        <w:t xml:space="preserve">, and (iii)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Enron Corp., and (ii) Credit Support Provider means in relation to Party B, TXU Gas Company.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Section 2(c)(ii)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Texas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Subsections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 ;and (iii) it is exposed in the conduct of its business to the risk of variations in weather and is entering into relevant Transactions to manage or offset such risks.</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Customization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in each case by sending to Party A either (i) an executed Confirmation, or (ii) an executed Confirmation reply letter in the form attached hereto as </w:t>
      </w:r>
      <w:r>
        <w:rPr>
          <w:rFonts w:cs="Times New Roman" w:ascii="Times New Roman" w:hAnsi="Times New Roman"/>
          <w:sz w:val="22"/>
          <w:u w:val="single"/>
        </w:rPr>
        <w:t>Exhibit C</w:t>
      </w:r>
      <w:r>
        <w:rPr>
          <w:rFonts w:cs="Times New Roman" w:ascii="Times New Roman" w:hAnsi="Times New Roman"/>
          <w:sz w:val="22"/>
        </w:rPr>
        <w:t>.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 and agrees that such recording may be admitted into evidence in any litigation involving this Master Agreement or any Transaction.</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such person’s auditors, attorneys, advisors or lenders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Subsection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pPr>
      <w:r>
        <w:rPr>
          <w:rFonts w:cs="Times New Roman" w:ascii="Times New Roman" w:hAnsi="Times New Roman"/>
          <w:sz w:val="22"/>
        </w:rPr>
        <w:t>(l)</w:t>
        <w:tab/>
      </w:r>
      <w:r>
        <w:rPr>
          <w:rFonts w:cs="Times New Roman" w:ascii="Times New Roman" w:hAnsi="Times New Roman"/>
          <w:b/>
          <w:sz w:val="22"/>
        </w:rPr>
        <w:t>Limitation of Rate.</w:t>
      </w:r>
      <w:r>
        <w:rPr>
          <w:rFonts w:cs="Times New Roman"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pPr>
      <w:r>
        <w:rPr>
          <w:sz w:val="22"/>
        </w:rPr>
        <w:t>(m)</w:t>
        <w:tab/>
      </w:r>
      <w:r>
        <w:rPr>
          <w:b/>
          <w:sz w:val="22"/>
        </w:rPr>
        <w:t>Entire Agreement.</w:t>
      </w:r>
      <w:r>
        <w:rPr>
          <w:sz w:val="22"/>
        </w:rPr>
        <w:t xml:space="preserve">  This Agreement shall supersede and replace all prior agreements between the parties hereto (other than confirmations of specific Transaction terms), including the Master Agreement dated as of October 19, 1995, as amended.  All Transactions entered into prior to the date hereof between the parties hereto or their predecessors in title that are in effect on the date hereof, and all Transactions entered into between the parties hereto on or after the date hereof shall be governed by this Agreement.</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r>
        <w:br w:type="page"/>
      </w:r>
    </w:p>
    <w:p>
      <w:pPr>
        <w:pStyle w:val="Header"/>
        <w:rPr>
          <w:rFonts w:ascii="Times New Roman" w:hAnsi="Times New Roman" w:cs="Times New Roman"/>
          <w:sz w:val="22"/>
        </w:rPr>
      </w:pPr>
      <w:r>
        <w:rPr>
          <w:rFonts w:cs="Times New Roman" w:ascii="Times New Roman" w:hAnsi="Times New Roman"/>
          <w:sz w:val="22"/>
        </w:rPr>
      </w:r>
    </w:p>
    <w:p>
      <w:pPr>
        <w:pStyle w:val="Header"/>
        <w:rPr>
          <w:sz w:val="22"/>
        </w:rPr>
      </w:pPr>
      <w:r>
        <w:rPr>
          <w:sz w:val="22"/>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color w:val="000000"/>
                <w:sz w:val="22"/>
              </w:rPr>
            </w:pPr>
            <w:r>
              <w:rPr>
                <w:rFonts w:cs="Times New Roman" w:ascii="Times New Roman" w:hAnsi="Times New Roman"/>
                <w:b/>
                <w:color w:val="000000"/>
                <w:sz w:val="22"/>
              </w:rPr>
              <w:t>TXU ENERGY TRADING COMPANY</w:t>
            </w:r>
          </w:p>
          <w:p>
            <w:pPr>
              <w:pStyle w:val="Normal"/>
              <w:keepNext w:val="true"/>
              <w:spacing w:lineRule="exact" w:line="240"/>
              <w:jc w:val="both"/>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B</w:t>
        <w:tab/>
        <w:t>FORM OF GUARANTY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C</w:t>
        <w:tab/>
        <w:t>FORM OF CONFIRMATION REPLY LETTER</w:t>
      </w:r>
    </w:p>
    <w:p>
      <w:pPr>
        <w:pStyle w:val="Normal"/>
        <w:jc w:val="center"/>
        <w:rPr>
          <w:rFonts w:ascii="Times New Roman" w:hAnsi="Times New Roman" w:cs="Times New Roman"/>
          <w:b/>
          <w:sz w:val="22"/>
          <w:u w:val="single"/>
        </w:rPr>
      </w:pPr>
      <w:r>
        <w:rPr>
          <w:rFonts w:cs="Times New Roman" w:ascii="Times New Roman" w:hAnsi="Times New Roman"/>
          <w:b/>
          <w:sz w:val="22"/>
          <w:u w:val="single"/>
        </w:rPr>
        <w:t>PARAGRAPH 13</w:t>
      </w:r>
    </w:p>
    <w:p>
      <w:pPr>
        <w:pStyle w:val="Normal"/>
        <w:jc w:val="center"/>
        <w:rPr>
          <w:rFonts w:ascii="Times New Roman" w:hAnsi="Times New Roman" w:cs="Times New Roman"/>
          <w:b/>
          <w:sz w:val="22"/>
        </w:rPr>
      </w:pPr>
      <w:r>
        <w:rPr>
          <w:rFonts w:cs="Times New Roman" w:ascii="Times New Roman" w:hAnsi="Times New Roman"/>
          <w:b/>
          <w:sz w:val="22"/>
        </w:rPr>
        <w:t>to the</w:t>
      </w:r>
    </w:p>
    <w:p>
      <w:pPr>
        <w:pStyle w:val="Normal"/>
        <w:jc w:val="center"/>
        <w:rPr>
          <w:rFonts w:ascii="Times New Roman" w:hAnsi="Times New Roman" w:cs="Times New Roman"/>
          <w:b/>
          <w:sz w:val="22"/>
        </w:rPr>
      </w:pPr>
      <w:r>
        <w:rPr>
          <w:rFonts w:cs="Times New Roman" w:ascii="Times New Roman" w:hAnsi="Times New Roman"/>
          <w:b/>
          <w:sz w:val="22"/>
        </w:rPr>
        <w:t>ISDA CREDIT SUPPORT ANNEX</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rFonts w:ascii="Times New Roman" w:hAnsi="Times New Roman" w:cs="Times New Roman"/>
                <w:b/>
                <w:color w:val="000000"/>
                <w:sz w:val="22"/>
              </w:rPr>
            </w:pPr>
            <w:r>
              <w:rPr>
                <w:rFonts w:cs="Times New Roman" w:ascii="Times New Roman" w:hAnsi="Times New Roman"/>
                <w:b/>
                <w:color w:val="000000"/>
                <w:sz w:val="22"/>
              </w:rPr>
              <w:t>TXU ENERGY TRADING COMPANY, a corporation organized under the law of the State of Texas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2"/>
        </w:rPr>
      </w:pPr>
      <w:r>
        <w:rPr>
          <w:rFonts w:cs="Times New Roman" w:ascii="Times New Roman" w:hAnsi="Times New Roman"/>
          <w:b/>
          <w:sz w:val="22"/>
        </w:rPr>
        <w:t>Paragraph 13.  Elections and Variables.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With respect to Party A:  None.</w:t>
      </w:r>
    </w:p>
    <w:p>
      <w:pPr>
        <w:pStyle w:val="Normal"/>
        <w:ind w:start="63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With respect to Party B:  None.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ind w:hanging="1260"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Cash</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not more than one year (“Government Obligations”)</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Other:</w:t>
              <w:tab/>
              <w:t>None</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p>
            <w:pPr>
              <w:pStyle w:val="Norma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rPr>
                <w:rFonts w:ascii="Times New Roman" w:hAnsi="Times New Roman" w:cs="Times New Roman"/>
                <w:sz w:val="22"/>
              </w:rPr>
            </w:pPr>
            <w:r>
              <w:rPr>
                <w:rFonts w:cs="Times New Roman" w:ascii="Times New Roman" w:hAnsi="Times New Roman"/>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color w:val="000000"/>
          <w:sz w:val="22"/>
        </w:rPr>
        <w:t xml:space="preserve">(B) </w:t>
      </w:r>
      <w:r>
        <w:rPr>
          <w:rFonts w:cs="Times New Roman" w:ascii="Times New Roman" w:hAnsi="Times New Roman"/>
          <w:b/>
          <w:color w:val="000000"/>
          <w:sz w:val="22"/>
        </w:rPr>
        <w:t>“Threshold”</w:t>
      </w:r>
      <w:r>
        <w:rPr>
          <w:rFonts w:cs="Times New Roman" w:ascii="Times New Roman" w:hAnsi="Times New Roman"/>
          <w:color w:val="000000"/>
          <w:sz w:val="22"/>
        </w:rPr>
        <w:t xml:space="preserve"> means, with respect to a party (a) the amount set forth below opposite the lowest Credit Rating for the party (or in the case of Party B, TXU Gas Company, and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ind w:hanging="720" w:start="2160" w:end="0"/>
        <w:jc w:val="both"/>
        <w:rPr>
          <w:rFonts w:ascii="Times New Roman" w:hAnsi="Times New Roman" w:cs="Times New Roman"/>
          <w:color w:val="000000"/>
          <w:sz w:val="22"/>
        </w:rPr>
      </w:pPr>
      <w:r>
        <w:rPr>
          <w:rFonts w:cs="Times New Roman" w:ascii="Times New Roman" w:hAnsi="Times New Roman"/>
          <w:color w:val="000000"/>
          <w:sz w:val="22"/>
        </w:rPr>
      </w:r>
    </w:p>
    <w:tbl>
      <w:tblPr>
        <w:tblW w:w="5220" w:type="dxa"/>
        <w:jc w:val="start"/>
        <w:tblInd w:w="2898" w:type="dxa"/>
        <w:tblLayout w:type="fixed"/>
        <w:tblCellMar>
          <w:top w:w="0" w:type="dxa"/>
          <w:start w:w="108" w:type="dxa"/>
          <w:bottom w:w="0" w:type="dxa"/>
          <w:end w:w="108" w:type="dxa"/>
        </w:tblCellMar>
      </w:tblPr>
      <w:tblGrid>
        <w:gridCol w:w="2160"/>
        <w:gridCol w:w="3060"/>
      </w:tblGrid>
      <w:tr>
        <w:trPr/>
        <w:tc>
          <w:tcPr>
            <w:tcW w:w="2160" w:type="dxa"/>
            <w:tcBorders/>
          </w:tcPr>
          <w:p>
            <w:pPr>
              <w:pStyle w:val="Normal"/>
              <w:rPr>
                <w:rFonts w:ascii="Times New Roman" w:hAnsi="Times New Roman" w:cs="Times New Roman"/>
                <w:sz w:val="22"/>
              </w:rPr>
            </w:pPr>
            <w:r>
              <w:rPr>
                <w:rFonts w:cs="Times New Roman" w:ascii="Times New Roman" w:hAnsi="Times New Roman"/>
                <w:b/>
                <w:sz w:val="22"/>
                <w:u w:val="single"/>
              </w:rPr>
              <w:t>THRESHOLD</w:t>
            </w:r>
          </w:p>
        </w:tc>
        <w:tc>
          <w:tcPr>
            <w:tcW w:w="3060" w:type="dxa"/>
            <w:tcBorders/>
          </w:tcPr>
          <w:p>
            <w:pPr>
              <w:pStyle w:val="BodyTextIndent2"/>
              <w:ind w:hanging="0" w:end="0"/>
              <w:jc w:val="start"/>
              <w:rPr>
                <w:b/>
                <w:u w:val="single"/>
              </w:rPr>
            </w:pPr>
            <w:r>
              <w:rPr>
                <w:b/>
                <w:u w:val="single"/>
              </w:rPr>
              <w:t>S&amp;P CREDIT RATING</w:t>
            </w:r>
          </w:p>
          <w:p>
            <w:pPr>
              <w:pStyle w:val="Normal"/>
              <w:ind w:start="-18" w:end="0"/>
              <w:rPr>
                <w:rFonts w:ascii="Times New Roman" w:hAnsi="Times New Roman" w:cs="Times New Roman"/>
                <w:b/>
                <w:sz w:val="22"/>
                <w:u w:val="single"/>
              </w:rPr>
            </w:pPr>
            <w:r>
              <w:rPr>
                <w:rFonts w:cs="Times New Roman" w:ascii="Times New Roman" w:hAnsi="Times New Roman"/>
                <w:b/>
                <w:sz w:val="22"/>
                <w:u w:val="single"/>
              </w:rPr>
            </w:r>
          </w:p>
        </w:tc>
      </w:tr>
      <w:tr>
        <w:trPr/>
        <w:tc>
          <w:tcPr>
            <w:tcW w:w="2160" w:type="dxa"/>
            <w:tcBorders/>
          </w:tcPr>
          <w:p>
            <w:pPr>
              <w:pStyle w:val="Normal"/>
              <w:rPr>
                <w:rFonts w:ascii="Times New Roman" w:hAnsi="Times New Roman" w:cs="Times New Roman"/>
                <w:sz w:val="22"/>
              </w:rPr>
            </w:pPr>
            <w:r>
              <w:rPr>
                <w:rFonts w:cs="Times New Roman" w:ascii="Times New Roman" w:hAnsi="Times New Roman"/>
                <w:sz w:val="22"/>
              </w:rPr>
              <w:t>U.S. $ 20,000,000</w:t>
            </w:r>
          </w:p>
        </w:tc>
        <w:tc>
          <w:tcPr>
            <w:tcW w:w="3060" w:type="dxa"/>
            <w:tcBorders/>
          </w:tcPr>
          <w:p>
            <w:pPr>
              <w:pStyle w:val="Normal"/>
              <w:ind w:start="-18" w:end="0"/>
              <w:rPr>
                <w:rFonts w:ascii="Times New Roman" w:hAnsi="Times New Roman" w:cs="Times New Roman"/>
                <w:sz w:val="22"/>
              </w:rPr>
            </w:pPr>
            <w:r>
              <w:rPr>
                <w:rFonts w:cs="Times New Roman" w:ascii="Times New Roman" w:hAnsi="Times New Roman"/>
                <w:sz w:val="22"/>
              </w:rPr>
              <w:t>A- (or above)</w:t>
            </w:r>
          </w:p>
        </w:tc>
      </w:tr>
      <w:tr>
        <w:trPr/>
        <w:tc>
          <w:tcPr>
            <w:tcW w:w="2160" w:type="dxa"/>
            <w:tcBorders/>
          </w:tcPr>
          <w:p>
            <w:pPr>
              <w:pStyle w:val="Normal"/>
              <w:rPr>
                <w:rFonts w:ascii="Times New Roman" w:hAnsi="Times New Roman" w:cs="Times New Roman"/>
                <w:sz w:val="22"/>
              </w:rPr>
            </w:pPr>
            <w:r>
              <w:rPr>
                <w:rFonts w:cs="Times New Roman" w:ascii="Times New Roman" w:hAnsi="Times New Roman"/>
                <w:sz w:val="22"/>
              </w:rPr>
              <w:t>U.S. $ 15,000,000</w:t>
            </w:r>
          </w:p>
        </w:tc>
        <w:tc>
          <w:tcPr>
            <w:tcW w:w="3060" w:type="dxa"/>
            <w:tcBorders/>
          </w:tcPr>
          <w:p>
            <w:pPr>
              <w:pStyle w:val="Normal"/>
              <w:ind w:start="-18" w:end="0"/>
              <w:rPr>
                <w:rFonts w:ascii="Times New Roman" w:hAnsi="Times New Roman" w:cs="Times New Roman"/>
                <w:sz w:val="22"/>
              </w:rPr>
            </w:pPr>
            <w:r>
              <w:rPr>
                <w:rFonts w:cs="Times New Roman" w:ascii="Times New Roman" w:hAnsi="Times New Roman"/>
                <w:sz w:val="22"/>
              </w:rPr>
              <w:t>BBB and BBB+</w:t>
            </w:r>
          </w:p>
        </w:tc>
      </w:tr>
      <w:tr>
        <w:trPr/>
        <w:tc>
          <w:tcPr>
            <w:tcW w:w="2160" w:type="dxa"/>
            <w:tcBorders/>
          </w:tcPr>
          <w:p>
            <w:pPr>
              <w:pStyle w:val="Normal"/>
              <w:rPr>
                <w:rFonts w:ascii="Times New Roman" w:hAnsi="Times New Roman" w:cs="Times New Roman"/>
                <w:sz w:val="22"/>
              </w:rPr>
            </w:pPr>
            <w:r>
              <w:rPr>
                <w:rFonts w:cs="Times New Roman" w:ascii="Times New Roman" w:hAnsi="Times New Roman"/>
                <w:sz w:val="22"/>
              </w:rPr>
              <w:t>U.S. $ 10,000,000</w:t>
            </w:r>
          </w:p>
        </w:tc>
        <w:tc>
          <w:tcPr>
            <w:tcW w:w="3060" w:type="dxa"/>
            <w:tcBorders/>
          </w:tcPr>
          <w:p>
            <w:pPr>
              <w:pStyle w:val="Normal"/>
              <w:ind w:start="-18" w:end="0"/>
              <w:rPr>
                <w:rFonts w:ascii="Times New Roman" w:hAnsi="Times New Roman" w:cs="Times New Roman"/>
                <w:sz w:val="22"/>
              </w:rPr>
            </w:pPr>
            <w:r>
              <w:rPr>
                <w:rFonts w:cs="Times New Roman" w:ascii="Times New Roman" w:hAnsi="Times New Roman"/>
                <w:sz w:val="22"/>
              </w:rPr>
              <w:t>BBB-</w:t>
            </w:r>
          </w:p>
        </w:tc>
      </w:tr>
      <w:tr>
        <w:trPr/>
        <w:tc>
          <w:tcPr>
            <w:tcW w:w="2160" w:type="dxa"/>
            <w:tcBorders/>
          </w:tcPr>
          <w:p>
            <w:pPr>
              <w:pStyle w:val="Normal"/>
              <w:rPr>
                <w:rFonts w:ascii="Times New Roman" w:hAnsi="Times New Roman" w:cs="Times New Roman"/>
                <w:sz w:val="22"/>
              </w:rPr>
            </w:pPr>
            <w:r>
              <w:rPr>
                <w:rFonts w:cs="Times New Roman" w:ascii="Times New Roman" w:hAnsi="Times New Roman"/>
                <w:sz w:val="22"/>
              </w:rPr>
              <w:t>U.S. $ 0</w:t>
            </w:r>
          </w:p>
        </w:tc>
        <w:tc>
          <w:tcPr>
            <w:tcW w:w="3060" w:type="dxa"/>
            <w:tcBorders/>
          </w:tcPr>
          <w:p>
            <w:pPr>
              <w:pStyle w:val="Normal"/>
              <w:ind w:start="-18" w:end="0"/>
              <w:rPr>
                <w:rFonts w:ascii="Times New Roman" w:hAnsi="Times New Roman" w:cs="Times New Roman"/>
                <w:sz w:val="22"/>
              </w:rPr>
            </w:pPr>
            <w:r>
              <w:rPr>
                <w:rFonts w:cs="Times New Roman" w:ascii="Times New Roman" w:hAnsi="Times New Roman"/>
                <w:sz w:val="22"/>
              </w:rPr>
              <w:t>Below BBB-</w:t>
            </w:r>
          </w:p>
        </w:tc>
      </w:tr>
    </w:tbl>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w:t>
      </w:r>
      <w:r>
        <w:rPr>
          <w:rFonts w:cs="Times New Roman" w:ascii="Times New Roman" w:hAnsi="Times New Roman"/>
          <w:color w:val="000000"/>
          <w:sz w:val="22"/>
        </w:rPr>
        <w:t xml:space="preserve">$250,000 </w:t>
      </w:r>
      <w:r>
        <w:rPr>
          <w:rFonts w:cs="Times New Roman" w:ascii="Times New Roman" w:hAnsi="Times New Roman"/>
          <w:sz w:val="22"/>
        </w:rPr>
        <w:t xml:space="preserve">and the Return Amount will be rounded down to the nearest integral multiple of U.S. </w:t>
      </w:r>
      <w:r>
        <w:rPr>
          <w:rFonts w:cs="Times New Roman" w:ascii="Times New Roman" w:hAnsi="Times New Roman"/>
          <w:color w:val="000000"/>
          <w:sz w:val="22"/>
        </w:rPr>
        <w:t>$250,000.</w:t>
      </w:r>
    </w:p>
    <w:p>
      <w:pPr>
        <w:pStyle w:val="Normal"/>
        <w:ind w:hanging="720"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ind w:hanging="36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Illegality</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Credit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r>
    </w:tbl>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5.</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 xml:space="preserve">(2)  With respect to any Government Obligations,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(1)  Party B is not a Defaulting Party and its Credit Support Provider has a Credit Rating from S&amp;P and the lowest Credit Rating for its Credit Support Provider is “</w:t>
      </w:r>
      <w:r>
        <w:rPr>
          <w:rFonts w:cs="Times New Roman" w:ascii="Times New Roman" w:hAnsi="Times New Roman"/>
          <w:color w:val="000000"/>
          <w:sz w:val="22"/>
        </w:rPr>
        <w:t>BBB-</w:t>
      </w:r>
      <w:r>
        <w:rPr>
          <w:rFonts w:cs="Times New Roman" w:ascii="Times New Roman" w:hAnsi="Times New Roman"/>
          <w:sz w:val="22"/>
        </w:rPr>
        <w:t>” or higher by S&amp;P.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keepNext w:val="true"/>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Use of Posted Collateral.</w:t>
      </w:r>
    </w:p>
    <w:p>
      <w:pPr>
        <w:pStyle w:val="Normal"/>
        <w:keepNext w:val="true"/>
        <w:ind w:start="720" w:end="0"/>
        <w:jc w:val="both"/>
        <w:rPr>
          <w:rFonts w:ascii="Times New Roman" w:hAnsi="Times New Roman" w:cs="Times New Roman"/>
          <w:sz w:val="22"/>
        </w:rPr>
      </w:pPr>
      <w:r>
        <w:rPr>
          <w:rFonts w:cs="Times New Roman" w:ascii="Times New Roman" w:hAnsi="Times New Roman"/>
          <w:sz w:val="22"/>
        </w:rPr>
      </w:r>
    </w:p>
    <w:p>
      <w:pPr>
        <w:pStyle w:val="Normal"/>
        <w:keepNext w:val="true"/>
        <w:ind w:start="720" w:end="0"/>
        <w:jc w:val="both"/>
        <w:rPr/>
      </w:pPr>
      <w:r>
        <w:rPr>
          <w:rFonts w:cs="Times New Roman" w:ascii="Times New Roman" w:hAnsi="Times New Roman"/>
          <w:sz w:val="22"/>
        </w:rPr>
        <w:t xml:space="preserve">The provisions of Paragraph 6(c) will apply to the parties;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a party is not eligible to hold Posted Collateral pursuant to Paragraph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B:      To be provided in notice requesting delivery/return of Eligible Credit Support/Posted Credit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jc w:val="center"/>
        <w:rPr>
          <w:rFonts w:ascii="Times New Roman" w:hAnsi="Times New Roman" w:cs="Times New Roman"/>
          <w:b/>
          <w:sz w:val="22"/>
        </w:rPr>
      </w:pPr>
      <w:r>
        <w:rPr>
          <w:rFonts w:cs="Times New Roman" w:ascii="Times New Roman" w:hAnsi="Times New Roman"/>
          <w:b/>
          <w:sz w:val="22"/>
          <w:u w:val="single"/>
        </w:rPr>
        <w:t>EXHIBIT A</w:t>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jc w:val="center"/>
        <w:rPr>
          <w:rFonts w:ascii="Times New Roman" w:hAnsi="Times New Roman" w:cs="Times New Roman"/>
          <w:sz w:val="22"/>
        </w:rPr>
      </w:pPr>
      <w:r>
        <w:rPr>
          <w:rFonts w:cs="Times New Roman" w:ascii="Times New Roman" w:hAnsi="Times New Roman"/>
          <w:b/>
          <w:sz w:val="22"/>
        </w:rPr>
        <w:t>of Annex A</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LETTER OF CREDIT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within two (2) Local Business Days after such refusal.</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the occurrence thereof (or on or before the fifth Local Business Day after the occurrence thereof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Eligible Credit Support or upon or at any time after the occurrence of an Event of Default with respect to X,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Posted Collateral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jc w:val="center"/>
        <w:rPr>
          <w:rFonts w:ascii="Times New Roman" w:hAnsi="Times New Roman" w:cs="Times New Roman"/>
          <w:sz w:val="22"/>
        </w:rPr>
      </w:pPr>
      <w:r>
        <w:rPr>
          <w:rFonts w:cs="Times New Roman" w:ascii="Times New Roman" w:hAnsi="Times New Roman"/>
          <w:b/>
          <w:sz w:val="22"/>
          <w:u w:val="single"/>
        </w:rPr>
        <w:t>SCHEDULE 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[Address]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Re:  Credit No. _______________</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or</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 or</w:t>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3.</w:t>
        <w:tab/>
        <w:t>“An Event of Default (as defined in the Master Agreement) has occurred and is continuing with respect to Account Party under the Master Agreement.”</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22"/>
        </w:rPr>
      </w:pPr>
      <w:r>
        <w:rPr>
          <w:rFonts w:cs="Times New Roman" w:ascii="Times New Roman" w:hAnsi="Times New Roman"/>
          <w:sz w:val="22"/>
        </w:rPr>
      </w:r>
    </w:p>
    <w:p>
      <w:pPr>
        <w:sectPr>
          <w:headerReference w:type="default" r:id="rId8"/>
          <w:headerReference w:type="first" r:id="rId9"/>
          <w:footerReference w:type="default" r:id="rId10"/>
          <w:footerReference w:type="first" r:id="rId11"/>
          <w:type w:val="nextPage"/>
          <w:pgSz w:w="12240" w:h="15840"/>
          <w:pgMar w:left="1008" w:right="1008"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199__,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TXU ENERGY TRADING COMPANY, a Texas corporation, formerly known as Enserch Energy Services, Inc. (“Counterparty”) and ENRON CAPITAL &amp; TRADE RESOURCES CORP. (“Enron”), a wholly owned subsidiary of Guarantor, have entered into and are contemplating entering into one or more swap, option or other financially-settled derivative transactions, which transactions will be evidenced by one or more swap agreements, confirmations and/or master agreements, including without limitation, the ISDA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BodyTextIndent2"/>
        <w:widowControl/>
        <w:tabs>
          <w:tab w:val="clear" w:pos="1350"/>
        </w:tabs>
        <w:spacing w:lineRule="atLeast" w:line="240"/>
        <w:rPr/>
      </w:pPr>
      <w:r>
        <w:rPr/>
        <w:t>WHEREAS, Guarantor executed a Guaranty dated effective as of December 16, 1996 (the “Prior Guaranty”), as such guaranty may have been modified, amended and supplemented from time to time, guaranteeing Enron’s obligations to Counterparty under the Master Agreement dated October 19, 1995 between Enron and Counterparty;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desires to substitute and replace this Guaranty for the Prior Guaranty and Counterparty agrees to such substitution and replacement;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ind w:hanging="0" w:end="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rPr>
      </w:pPr>
      <w:r>
        <w:rPr>
          <w:sz w:val="22"/>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Header"/>
        <w:tabs>
          <w:tab w:val="left" w:pos="720" w:leader="none"/>
          <w:tab w:val="center" w:pos="4320" w:leader="none"/>
          <w:tab w:val="right" w:pos="8640" w:leader="none"/>
        </w:tabs>
        <w:ind w:firstLine="720" w:end="0"/>
        <w:jc w:val="both"/>
        <w:rPr/>
      </w:pPr>
      <w:r>
        <w:rPr>
          <w:sz w:val="22"/>
        </w:rPr>
        <w:t>7.</w:t>
        <w:tab/>
        <w:t xml:space="preserve">  </w:t>
      </w:r>
      <w:r>
        <w:rPr>
          <w:sz w:val="22"/>
          <w:u w:val="single"/>
        </w:rPr>
        <w:t>PRIOR GUARANTY</w:t>
      </w:r>
      <w:r>
        <w:rPr>
          <w:sz w:val="22"/>
        </w:rPr>
        <w:t>.  Upon execution and delivery of this Guaranty by Guarantor and Counterparty, the Prior Guaranty shall become null and void and of no further force or effect.  Upon receipt of an originally executed copy of this Guaranty, Counterparty agrees to promptly return the original of the Prior Guaranty to Enron.  It is expressly acknowledged that this Guaranty is given in replacement and substitution of the Prior Guaranty and shall become operative only upon termination of the Prior Guaranty as set forth in this Paragraph 7.</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TXU Energy Trading Company</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300 South St. Paul</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Dallas, Texas  75201-9990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Risk Management Accounting</w:t>
            </w:r>
          </w:p>
          <w:p>
            <w:pPr>
              <w:pStyle w:val="Normal"/>
              <w:keepNext w:val="true"/>
              <w:keepLines/>
              <w:tabs>
                <w:tab w:val="clear" w:pos="720"/>
                <w:tab w:val="left" w:pos="3132" w:leader="none"/>
              </w:tabs>
              <w:spacing w:lineRule="atLeast" w:line="240"/>
              <w:rPr>
                <w:color w:val="000000"/>
                <w:sz w:val="22"/>
              </w:rPr>
            </w:pPr>
            <w:r>
              <w:rPr>
                <w:color w:val="000000"/>
                <w:sz w:val="22"/>
              </w:rPr>
              <w:t>Fax No.:  (713) 6597506</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including the Prior Guaranty.  The headings in this Guaranty are for purposes of reference only, and shall not affect the meaning hereof.</w:t>
      </w:r>
      <w:r>
        <w:br w:type="page"/>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199_,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08" w:right="1008" w:gutter="0" w:header="720" w:top="1440" w:footer="720" w:bottom="1440"/>
          <w:pgNumType w:start="1" w:fmt="decimal"/>
          <w:formProt w:val="false"/>
          <w:textDirection w:val="lrTb"/>
          <w:docGrid w:type="default" w:linePitch="360" w:charSpace="0"/>
        </w:sectPr>
        <w:pStyle w:val="Normal"/>
        <w:spacing w:lineRule="atLeast" w:line="240"/>
        <w:ind w:start="5040" w:end="0"/>
        <w:jc w:val="both"/>
        <w:rPr>
          <w:sz w:val="22"/>
        </w:rPr>
      </w:pPr>
      <w:r>
        <w:rPr>
          <w:sz w:val="22"/>
        </w:rPr>
        <w:t xml:space="preserve">Title:  </w:t>
      </w:r>
      <w:r>
        <w:rPr>
          <w:sz w:val="22"/>
          <w:u w:val="single"/>
        </w:rPr>
        <w:tab/>
        <w:tab/>
        <w:tab/>
        <w:tab/>
        <w:tab/>
        <w:tab/>
      </w:r>
    </w:p>
    <w:p>
      <w:pPr>
        <w:pStyle w:val="Normal"/>
        <w:ind w:end="180"/>
        <w:jc w:val="center"/>
        <w:rPr>
          <w:b/>
          <w:sz w:val="22"/>
        </w:rPr>
      </w:pPr>
      <w:r>
        <w:rPr>
          <w:b/>
          <w:sz w:val="22"/>
          <w:u w:val="single"/>
        </w:rPr>
        <w:t>EXHIBIT B</w:t>
      </w:r>
    </w:p>
    <w:p>
      <w:pPr>
        <w:pStyle w:val="Normal"/>
        <w:ind w:end="180"/>
        <w:jc w:val="center"/>
        <w:rPr>
          <w:b/>
          <w:sz w:val="22"/>
        </w:rPr>
      </w:pPr>
      <w:r>
        <w:rPr>
          <w:b/>
          <w:sz w:val="22"/>
        </w:rPr>
      </w:r>
    </w:p>
    <w:p>
      <w:pPr>
        <w:sectPr>
          <w:headerReference w:type="default" r:id="rId16"/>
          <w:headerReference w:type="first" r:id="rId17"/>
          <w:footerReference w:type="default" r:id="rId18"/>
          <w:footerReference w:type="first" r:id="rId19"/>
          <w:type w:val="nextPage"/>
          <w:pgSz w:w="12240" w:h="15840"/>
          <w:pgMar w:left="1008" w:right="1008" w:gutter="0" w:header="720" w:top="1440" w:footer="720" w:bottom="1440"/>
          <w:pgNumType w:start="1" w:fmt="decimal"/>
          <w:formProt w:val="false"/>
          <w:textDirection w:val="lrTb"/>
          <w:docGrid w:type="default" w:linePitch="360" w:charSpace="0"/>
        </w:sectPr>
        <w:pStyle w:val="Normal"/>
        <w:ind w:end="180"/>
        <w:jc w:val="center"/>
        <w:rPr>
          <w:b/>
          <w:sz w:val="22"/>
        </w:rPr>
      </w:pPr>
      <w:r>
        <w:rPr>
          <w:b/>
          <w:sz w:val="22"/>
        </w:rPr>
        <w:t>[attach form of TXU Gas Company Guaranty]</w:t>
      </w:r>
    </w:p>
    <w:p>
      <w:pPr>
        <w:pStyle w:val="Normal"/>
        <w:ind w:end="180"/>
        <w:jc w:val="center"/>
        <w:rPr>
          <w:b/>
          <w:sz w:val="22"/>
        </w:rPr>
      </w:pPr>
      <w:r>
        <w:rPr>
          <w:b/>
          <w:sz w:val="22"/>
          <w:u w:val="single"/>
        </w:rPr>
        <w:t>EXHIBIT C</w:t>
      </w:r>
    </w:p>
    <w:p>
      <w:pPr>
        <w:pStyle w:val="Normal"/>
        <w:ind w:end="180"/>
        <w:jc w:val="center"/>
        <w:rPr>
          <w:b/>
          <w:sz w:val="22"/>
        </w:rPr>
      </w:pPr>
      <w:r>
        <w:rPr>
          <w:b/>
          <w:sz w:val="22"/>
        </w:rPr>
      </w:r>
    </w:p>
    <w:p>
      <w:pPr>
        <w:pStyle w:val="Normal"/>
        <w:ind w:end="180"/>
        <w:jc w:val="center"/>
        <w:rPr>
          <w:b/>
          <w:sz w:val="22"/>
        </w:rPr>
      </w:pPr>
      <w:r>
        <w:rPr>
          <w:b/>
          <w:sz w:val="22"/>
        </w:rPr>
        <w:t>[attach form of Confirmation reply letter]</w:t>
      </w:r>
    </w:p>
    <w:sectPr>
      <w:headerReference w:type="default" r:id="rId20"/>
      <w:headerReference w:type="first" r:id="rId21"/>
      <w:footerReference w:type="default" r:id="rId22"/>
      <w:footerReference w:type="first" r:id="rId23"/>
      <w:type w:val="nextPage"/>
      <w:pgSz w:w="12240" w:h="15840"/>
      <w:pgMar w:left="1008" w:right="1008"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/mnt/main-storage/datasets/enron-docs/doc/781ctr.doc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t>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rPr>
    </w:pPr>
    <w:r>
      <w:rPr>
        <w:rFonts w:cs="Times New Roman" w:ascii="Times New Roman" w:hAnsi="Times New Roman"/>
      </w:rPr>
      <w:t>EXHIBIT A</w:t>
    </w:r>
  </w:p>
  <w:p>
    <w:pPr>
      <w:pStyle w:val="Expanded"/>
      <w:spacing w:before="0" w:after="0"/>
      <w:rPr>
        <w:rFonts w:ascii="Times New Roman" w:hAnsi="Times New Roman" w:cs="Times New Roman"/>
        <w:b w:val="false"/>
        <w:caps w:val="false"/>
        <w:smallCaps w:val="false"/>
        <w:spacing w:val="0"/>
        <w:sz w:val="20"/>
      </w:rPr>
    </w:pPr>
    <w:r>
      <w:rPr>
        <w:rFonts w:cs="Times New Roman" w:ascii="Times New Roman" w:hAnsi="Times New Roman"/>
        <w:b w:val="false"/>
        <w:caps w:val="false"/>
        <w:smallCaps w:val="false"/>
        <w:spacing w:val="0"/>
        <w:sz w:val="20"/>
      </w:rPr>
      <w:t>to Paragraph 13</w:t>
    </w:r>
  </w:p>
  <w:p>
    <w:pPr>
      <w:pStyle w:val="Normal"/>
      <w:jc w:val="center"/>
      <w:rPr>
        <w:rFonts w:ascii="Times New Roman" w:hAnsi="Times New Roman" w:cs="Times New Roman"/>
      </w:rPr>
    </w:pPr>
    <w:r>
      <w:rPr>
        <w:rFonts w:cs="Times New Roman" w:ascii="Times New Roman" w:hAnsi="Times New Roman"/>
      </w:rPr>
      <w:t>of 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rPr>
  </w:style>
  <w:style w:type="paragraph" w:styleId="BodyText2">
    <w:name w:val="Body Text 2"/>
    <w:basedOn w:val="Normal"/>
    <w:qFormat/>
    <w:pPr>
      <w:widowControl w:val="false"/>
      <w:spacing w:lineRule="exact" w:line="240"/>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1999-08-16T12:49:00Z</dcterms:created>
  <dc:creator>jdobern</dc:creator>
  <dc:description>10/14/93</dc:description>
  <dc:language>en-CA</dc:language>
  <cp:lastModifiedBy>tjones</cp:lastModifiedBy>
  <cp:lastPrinted>1999-08-16T17:44:00Z</cp:lastPrinted>
  <dcterms:modified xsi:type="dcterms:W3CDTF">1999-08-17T11:59:00Z</dcterms:modified>
  <cp:revision>48</cp:revision>
  <dc:subject>2nd Draft 8/10/93rmj</dc:subject>
  <dc:title>SCHEDULE TO THE MASTER AGREEMENT</dc:title>
</cp:coreProperties>
</file>