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ALJ/CAB/sid</w:t>
        <w:tab/>
      </w:r>
      <w:r>
        <w:rPr>
          <w:rFonts w:cs="Helvetica;Arial" w:ascii="Helvetica;Arial" w:hAnsi="Helvetica;Arial"/>
          <w:b/>
          <w:sz w:val="36"/>
        </w:rPr>
        <w:t>DRAFT</w:t>
      </w:r>
      <w:r>
        <w:rPr/>
        <w:tab/>
        <w:t>Item 3</w:t>
      </w:r>
    </w:p>
    <w:p>
      <w:pPr>
        <w:pStyle w:val="Header"/>
        <w:rPr/>
      </w:pPr>
      <w:r>
        <w:rPr/>
        <w:tab/>
        <w:tab/>
        <w:t>6/28/2001</w:t>
      </w:r>
    </w:p>
    <w:p>
      <w:pPr>
        <w:pStyle w:val="Normal"/>
        <w:rPr/>
      </w:pPr>
      <w:r>
        <w:rPr/>
      </w:r>
    </w:p>
    <w:p>
      <w:pPr>
        <w:pStyle w:val="Header"/>
        <w:widowControl/>
        <w:tabs>
          <w:tab w:val="clear" w:pos="4320"/>
          <w:tab w:val="right" w:pos="9360" w:leader="none"/>
        </w:tabs>
        <w:rPr/>
      </w:pPr>
      <w:r>
        <w:rPr/>
        <w:t xml:space="preserve">Decision </w:t>
      </w:r>
      <w:r>
        <w:rPr>
          <w:b/>
          <w:u w:val="single"/>
        </w:rPr>
        <w:t>PROPOSED DECISION OF ALJ BROWN</w:t>
      </w:r>
      <w:r>
        <w:rPr>
          <w:b/>
        </w:rPr>
        <w:t xml:space="preserve">  (Mailed 5/29/2001)</w:t>
      </w:r>
    </w:p>
    <w:p>
      <w:pPr>
        <w:pStyle w:val="Normal"/>
        <w:rPr/>
      </w:pPr>
      <w:r>
        <w:rPr/>
      </w:r>
    </w:p>
    <w:p>
      <w:pPr>
        <w:pStyle w:val="titlebar"/>
        <w:rPr>
          <w:sz w:val="24"/>
        </w:rPr>
      </w:pPr>
      <w:r>
        <w:rPr>
          <w:sz w:val="24"/>
        </w:rPr>
        <w:t>BEFORE THE PUBLIC UTILITIES COMMISSION OF THE STATE OF CALIFORNIA</w:t>
      </w:r>
    </w:p>
    <w:p>
      <w:pPr>
        <w:pStyle w:val="Normal"/>
        <w:suppressAutoHyphens w:val="true"/>
        <w:rPr>
          <w:sz w:val="24"/>
        </w:rPr>
      </w:pPr>
      <w:r>
        <w:rPr>
          <w:sz w:val="24"/>
        </w:rPr>
      </w:r>
    </w:p>
    <w:tbl>
      <w:tblPr>
        <w:tblW w:w="9558" w:type="dxa"/>
        <w:jc w:val="start"/>
        <w:tblInd w:w="0" w:type="dxa"/>
        <w:tblLayout w:type="fixed"/>
        <w:tblCellMar>
          <w:top w:w="0" w:type="dxa"/>
          <w:start w:w="108" w:type="dxa"/>
          <w:bottom w:w="0" w:type="dxa"/>
          <w:end w:w="108" w:type="dxa"/>
        </w:tblCellMar>
      </w:tblPr>
      <w:tblGrid>
        <w:gridCol w:w="5958"/>
        <w:gridCol w:w="3600"/>
      </w:tblGrid>
      <w:tr>
        <w:trPr/>
        <w:tc>
          <w:tcPr>
            <w:tcW w:w="5958" w:type="dxa"/>
            <w:tcBorders>
              <w:bottom w:val="single" w:sz="6" w:space="0" w:color="000000"/>
              <w:end w:val="single" w:sz="6" w:space="0" w:color="000000"/>
            </w:tcBorders>
          </w:tcPr>
          <w:p>
            <w:pPr>
              <w:pStyle w:val="Normal"/>
              <w:tabs>
                <w:tab w:val="clear" w:pos="720"/>
                <w:tab w:val="left" w:pos="1440" w:leader="none"/>
                <w:tab w:val="left" w:pos="3600" w:leader="none"/>
              </w:tabs>
              <w:rPr/>
            </w:pPr>
            <w:r>
              <w:rPr/>
              <w:t>In the Matter of the Application of SOUTHERN CALIFORNIA GAS COMPANY for Authority to Implement a Rate for Peaking Service as Ordered By D.00-04-060.                    (U 904 G)</w:t>
            </w:r>
          </w:p>
          <w:p>
            <w:pPr>
              <w:pStyle w:val="Normal"/>
              <w:rPr/>
            </w:pPr>
            <w:r>
              <w:rPr/>
            </w:r>
          </w:p>
        </w:tc>
        <w:tc>
          <w:tcPr>
            <w:tcW w:w="3600" w:type="dxa"/>
            <w:tcBorders/>
          </w:tcPr>
          <w:p>
            <w:pPr>
              <w:pStyle w:val="Normal"/>
              <w:snapToGrid w:val="false"/>
              <w:jc w:val="center"/>
              <w:rPr/>
            </w:pPr>
            <w:r>
              <w:rPr/>
            </w:r>
          </w:p>
          <w:p>
            <w:pPr>
              <w:pStyle w:val="Normal"/>
              <w:jc w:val="center"/>
              <w:rPr/>
            </w:pPr>
            <w:r>
              <w:rPr/>
            </w:r>
          </w:p>
          <w:p>
            <w:pPr>
              <w:pStyle w:val="Normal"/>
              <w:jc w:val="center"/>
              <w:rPr/>
            </w:pPr>
            <w:r>
              <w:rPr/>
              <w:t>Application 00-06-032</w:t>
            </w:r>
          </w:p>
          <w:p>
            <w:pPr>
              <w:pStyle w:val="Normal"/>
              <w:jc w:val="center"/>
              <w:rPr/>
            </w:pPr>
            <w:r>
              <w:rPr/>
              <w:t>(Filed June 19, 2000)</w:t>
            </w:r>
          </w:p>
        </w:tc>
      </w:tr>
    </w:tbl>
    <w:p>
      <w:pPr>
        <w:pStyle w:val="Normal"/>
        <w:suppressAutoHyphens w:val="true"/>
        <w:rPr/>
      </w:pPr>
      <w:r>
        <w:rPr/>
      </w:r>
    </w:p>
    <w:p>
      <w:pPr>
        <w:pStyle w:val="Normal"/>
        <w:suppressAutoHyphens w:val="true"/>
        <w:rPr/>
      </w:pPr>
      <w:r>
        <w:rPr/>
      </w:r>
    </w:p>
    <w:p>
      <w:pPr>
        <w:pStyle w:val="main"/>
        <w:rPr/>
      </w:pPr>
      <w:r>
        <w:rPr/>
        <w:t>(See Appendix A for a list of appearances.)</w:t>
      </w:r>
    </w:p>
    <w:p>
      <w:pPr>
        <w:pStyle w:val="main"/>
        <w:rPr/>
      </w:pPr>
      <w:r>
        <w:rPr/>
      </w:r>
    </w:p>
    <w:p>
      <w:pPr>
        <w:pStyle w:val="main"/>
        <w:rPr/>
      </w:pPr>
      <w:r>
        <w:rPr/>
      </w:r>
    </w:p>
    <w:p>
      <w:pPr>
        <w:pStyle w:val="main"/>
        <w:rPr/>
      </w:pPr>
      <w:r>
        <w:rPr/>
        <w:t>OPINION ESTABLISHING COST-BASED</w:t>
      </w:r>
    </w:p>
    <w:p>
      <w:pPr>
        <w:pStyle w:val="main"/>
        <w:rPr/>
      </w:pPr>
      <w:r>
        <w:rPr/>
        <w:t>PEAKING RATE</w:t>
      </w:r>
    </w:p>
    <w:p>
      <w:pPr>
        <w:pStyle w:val="main"/>
        <w:rPr/>
      </w:pPr>
      <w:r>
        <w:rPr/>
      </w:r>
    </w:p>
    <w:p>
      <w:pPr>
        <w:pStyle w:val="Heading1"/>
        <w:numPr>
          <w:ilvl w:val="0"/>
          <w:numId w:val="0"/>
        </w:numPr>
        <w:ind w:hanging="0" w:start="0"/>
        <w:rPr/>
      </w:pPr>
      <w:r>
        <w:rPr/>
        <w:t>Summary</w:t>
      </w:r>
    </w:p>
    <w:p>
      <w:pPr>
        <w:pStyle w:val="standard"/>
        <w:rPr/>
      </w:pPr>
      <w:r>
        <w:rPr/>
        <w:t>This order establishes a cost-based peaking tariff for customers in Southern California Gas Company’s (SoCalGas) territory.  This tariff will apply to customers who bypass SoCalGas’s transmission and distribution system by using an interstate pipeline for baseload requirements, but need SoCalGas for peakload service.</w:t>
      </w:r>
    </w:p>
    <w:p>
      <w:pPr>
        <w:pStyle w:val="Heading1"/>
        <w:rPr/>
      </w:pPr>
      <w:r>
        <w:rPr/>
        <w:t>Background</w:t>
      </w:r>
    </w:p>
    <w:p>
      <w:pPr>
        <w:pStyle w:val="Heading2"/>
        <w:rPr/>
      </w:pPr>
      <w:r>
        <w:rPr/>
        <w:t>Procedural Background</w:t>
      </w:r>
    </w:p>
    <w:p>
      <w:pPr>
        <w:pStyle w:val="sub1"/>
        <w:rPr/>
      </w:pPr>
      <w:r>
        <w:rPr/>
        <w:t xml:space="preserve">SoCalGas proposed two methodologies for calculating the peaking rate.  The first proposal, SoCalGas’ preferred alternative, is a market-based rate whereby SoCalGas would negotiate a specific rate with each prospective customer.  The second proposal is a cost-based rate that is based on a straight fixed variable methodology.  </w:t>
      </w:r>
    </w:p>
    <w:p>
      <w:pPr>
        <w:pStyle w:val="sub1"/>
        <w:rPr/>
      </w:pPr>
      <w:r>
        <w:rPr/>
        <w:t>On July 6, 2000, the Commission adopted ALJ Resolution 176-3042 that preliminarily categorized the proceeding as ratesetting and determined that hearings would be necessary.</w:t>
      </w:r>
    </w:p>
    <w:p>
      <w:pPr>
        <w:pStyle w:val="sub1"/>
        <w:rPr/>
      </w:pPr>
      <w:r>
        <w:rPr/>
        <w:t>On July 28, 2000, the following parties submitted protests to the application:  City of Long Beach, Southern California Generation Coalition (SCGC), Watson Cogeneration Company (Watson), California Industrial Group and California Manufacturers &amp; Technology Association (CIG/CMTA), Calpine Corporation (Calpine), Kern River Gas Transmission and Questar Southern Trails (Kern River/Questar), and Southern California Edison Company (Edison).  In general, the protesting parties opposed the application and contended that the proposed market-based rate would be anti-competitive and would prevent economic bypass.</w:t>
      </w:r>
    </w:p>
    <w:p>
      <w:pPr>
        <w:pStyle w:val="sub1"/>
        <w:rPr/>
      </w:pPr>
      <w:r>
        <w:rPr/>
        <w:t>On August 22, 2000, a prehearing conference (PHC) was held and a procedural schedule was adopted.  Following the PHC, Commissioner Bilas issued a Scoping Memo reiterating the procedural schedule, establishing that the scope of the proceeding was whether the Commission should adopt SoCalGas’ market-based, or the alternative cost-based, peaking service rate, and designating the assigned administrative law judge as the principal hearing officer.</w:t>
      </w:r>
    </w:p>
    <w:p>
      <w:pPr>
        <w:pStyle w:val="sub1"/>
        <w:rPr/>
      </w:pPr>
      <w:r>
        <w:rPr/>
        <w:t>Evidentiary hearings took place on October 16-20, 2000, and oral argument was presented on October 31, 2000.  Post-hearing briefing was complete by December 11, 2000.</w:t>
      </w:r>
    </w:p>
    <w:p>
      <w:pPr>
        <w:pStyle w:val="Heading2"/>
        <w:rPr/>
      </w:pPr>
      <w:r>
        <w:rPr/>
        <w:t>History of Peaking Tariff</w:t>
      </w:r>
    </w:p>
    <w:p>
      <w:pPr>
        <w:pStyle w:val="sub1"/>
        <w:rPr/>
      </w:pPr>
      <w:r>
        <w:rPr/>
        <w:t>Following federal regulatory reforms in the natural gas industry,</w:t>
      </w:r>
      <w:r>
        <w:rPr>
          <w:rStyle w:val="FootnoteCharacters"/>
        </w:rPr>
        <w:t xml:space="preserve"> </w:t>
      </w:r>
      <w:r>
        <w:rPr>
          <w:rStyle w:val="FootnoteCharacters"/>
          <w:rStyle w:val="FootnoteReference"/>
        </w:rPr>
        <w:footnoteReference w:id="2"/>
      </w:r>
      <w:r>
        <w:rPr/>
        <w:t xml:space="preserve"> the Commission took steps in 1988 to encourage competition in the gas industry in California.  Gas customers were divided into two categories:  core customers</w:t>
      </w:r>
      <w:r>
        <w:rPr>
          <w:rStyle w:val="FootnoteCharacters"/>
          <w:rStyle w:val="FootnoteReference"/>
        </w:rPr>
        <w:footnoteReference w:id="3"/>
      </w:r>
      <w:r>
        <w:rPr/>
        <w:t xml:space="preserve"> and noncore.</w:t>
      </w:r>
      <w:r>
        <w:rPr>
          <w:rStyle w:val="FootnoteCharacters"/>
        </w:rPr>
        <w:t xml:space="preserve"> </w:t>
      </w:r>
      <w:r>
        <w:rPr>
          <w:rStyle w:val="FootnoteCharacters"/>
          <w:rStyle w:val="FootnoteReference"/>
        </w:rPr>
        <w:footnoteReference w:id="4"/>
      </w:r>
      <w:r>
        <w:rPr/>
        <w:t xml:space="preserve">  Core customers have few competitive options, since utilities, such as SoCalGas, still procure gas for these customers and provide them with firm transportation service.  However, gas service to noncore customers was changed by the Commission’s regulatory reforms such that these customers could avail themselves of competitive options and buy gas from sources other than the utility.  In addition, following further Commission reforms in 1991, interstate pipeline capacity was unbundled so that noncore customers could acquire such capacity from competing pipelines.  The policy behind opening the market to competition was the belief that all customers, core and noncore, would benefit from the anticipated lower prices that competition would foster.  </w:t>
      </w:r>
    </w:p>
    <w:p>
      <w:pPr>
        <w:pStyle w:val="sub1"/>
        <w:rPr/>
      </w:pPr>
      <w:r>
        <w:rPr/>
        <w:t>Many SoCalGas noncore customers who choose an interstate pipeline for baseload service need to return to the SoCalGas system for peakload service, in order to meet their maximum requirements and to enhance the overall reliability of their gas service.  SoCalGas is required by its utility franchise rights to serve all customer load within its service territory.  Therefore, SoCalGas is obligated to provide peakload service to bypass customers, at tariffed rates, even though these customers have turned to another provider for their baseload service.  Bypassing the SoCalGas system causes a loss of revenue, and providing peak load service at tariffed prices is expensive.  This combination of lost revenue and high costs has the potential to increase the cost of basic service for the captive, core customers.</w:t>
      </w:r>
    </w:p>
    <w:p>
      <w:pPr>
        <w:pStyle w:val="sub1"/>
        <w:rPr/>
      </w:pPr>
      <w:r>
        <w:rPr/>
        <w:t xml:space="preserve">The interstate pipelines are regulated by the Federal Energy Regulatory Commission (FERC).  Under FERC rules, these competing gas providers can negotiate a rate.  Under this Commission’s regulations, however, SoCalGas is obligated to provide service at tariffed rates.  Because of this regulatory gap between the rate structures set by FERC and this Commission, noncore customers had an incentive to bypass the SoCalGas system, leaving the core customers paying the tab for stranded capacity.  </w:t>
      </w:r>
    </w:p>
    <w:p>
      <w:pPr>
        <w:pStyle w:val="sub1"/>
        <w:rPr/>
      </w:pPr>
      <w:r>
        <w:rPr/>
        <w:t>To correct this gap, the Commission instituted the Residual Load Service (RLS) tariff in Decision (D.) 95</w:t>
        <w:noBreakHyphen/>
        <w:t>07</w:t>
        <w:noBreakHyphen/>
        <w:t>046.  The RLS tariff was first adopted by the Commission in 1995 to ensure that noncore customers’ cost of partially bypassing SoCalGas would not be passed on to the general body of ratepayers.  Before establishing this tariff, SoCalGas had been charging an all-volumetric rate structure that did not accurately reflect the utility’s cost to provide peaking service to customers that took partial service from a competing pipeline.  The RLS tariff was not cost-based (D.95-07-046, at 7, D.97</w:t>
        <w:noBreakHyphen/>
        <w:t>04-082, at 131), but was market based to ensure that SoCalGas did not lose revenue in the event of a partial bypass (D.95-07-046, at 8, 10) and that it could compete effectively against new pipeline entrants to the SoCalGas territory (D.95-07-046, at 8-9).</w:t>
      </w:r>
    </w:p>
    <w:p>
      <w:pPr>
        <w:pStyle w:val="sub1"/>
        <w:rPr/>
      </w:pPr>
      <w:r>
        <w:rPr/>
        <w:t xml:space="preserve">The RLS tariff, while allowing SoCalGas to mitigate any revenue loss it might suffer due to partial pipeline bypass, effectively discouraged new pipeline competition in SoCalGas’ service territory.  In addition, no SoCalGas customer has ever taken service under the RLS tariff.  From a customer perspective, the RLS tariff effectively forces a bypass customer to pay for gas twice--once to the new interstate pipeline for baseload service and again to SoCalGas for peaking service--when it utilizes peaking service.  </w:t>
      </w:r>
    </w:p>
    <w:p>
      <w:pPr>
        <w:pStyle w:val="sub1"/>
        <w:rPr/>
      </w:pPr>
      <w:r>
        <w:rPr/>
        <w:t>On June 19, 2000, SoCalGas filed an Application requesting approval of a tariff for gas transportation service to any noncore customer that bypasses SoCalGas’ service, in whole or in part.  SoCalGas designates this a transportation “peaking” rate since bypass customers only use this service in times of peak gas use, because they use a competing interstate pipeline for baseload.  In D.00</w:t>
        <w:noBreakHyphen/>
        <w:t>04</w:t>
        <w:noBreakHyphen/>
        <w:t xml:space="preserve">060, Ordering Paragraph 6, the Commission ordered SoCalGas to file the instant application to establish the peaking rate to replace the RLS tariff.  </w:t>
      </w:r>
    </w:p>
    <w:p>
      <w:pPr>
        <w:pStyle w:val="sub1"/>
        <w:rPr/>
      </w:pPr>
      <w:r>
        <w:rPr/>
        <w:t>Since the RLS tariff was instituted, numerous parties have argued that it be abolished, contending that it did not promote efficient economic bypass from the SoCalGas system.  While the Commission was interested in fostering competitive options to the SoCalGas system, it did not want the remaining customers paying higher rates.  Therefore, in D.00-04-060, the Commission, while maintaining the RLS tariff in the interim, concluded that “the RLS tariff should be replaced simultaneous with the effective date of a new peaking tariff.”  The Commission stated that the peaking rate “should not be the equivalent of the RLS tariff” (</w:t>
      </w:r>
      <w:r>
        <w:rPr>
          <w:i/>
        </w:rPr>
        <w:t>Id.</w:t>
      </w:r>
      <w:r>
        <w:rPr/>
        <w:t xml:space="preserve"> At 93-94), but should close the regulatory gap between FERC rate structures for the interstate pipelines and this Commission’s rate structure for SoCalGas’ system.</w:t>
      </w:r>
    </w:p>
    <w:p>
      <w:pPr>
        <w:pStyle w:val="Heading1"/>
        <w:rPr/>
      </w:pPr>
      <w:r>
        <w:rPr/>
        <w:t>SoCalGas’ Proposed Peaking Rates</w:t>
      </w:r>
    </w:p>
    <w:p>
      <w:pPr>
        <w:pStyle w:val="standard"/>
        <w:rPr/>
      </w:pPr>
      <w:r>
        <w:rPr/>
        <w:t xml:space="preserve">In its June 19, 2000, application, SoCalGas proposed two alternative Peaking Service Rates:  a “market-based” rate and a “cost-based” rate.  SoCalGas prefers the market-based rate, but proposes the alternative in the event the Commission does not approve the market-based tariff rate. </w:t>
      </w:r>
    </w:p>
    <w:p>
      <w:pPr>
        <w:pStyle w:val="standard"/>
        <w:rPr/>
      </w:pPr>
      <w:r>
        <w:rPr/>
        <w:t xml:space="preserve">SoCalGas contends that both the market-based and the cost-based proposals for peaking rates are designed to send efficient price signals to partial bypass customers in the marketplace so that uneconomic bypass is discouraged and shifting of costs to SoCalGas’ captive customers is avoided.  Bypass can be economic or uneconomic.  Economic bypass occurs when a customer’s alternative energy cost is less than SoCalGas’ incremental cost of service.  Uneconomic bypass occurs when a customer’s alternative energy cost exceeds SoCalGas’ incremental cost of service, but is less than SoCalGas’ tariffed rates.   </w:t>
      </w:r>
    </w:p>
    <w:p>
      <w:pPr>
        <w:pStyle w:val="standard"/>
        <w:rPr/>
      </w:pPr>
      <w:r>
        <w:rPr/>
        <w:t>SoCalGas is concerned that without a price incentive to foster only economic bypass, interstate pipelines will serve the low-cost, high load factor baseload requirements of bypass customers and SoCalGas will be forced to serve the high-cost, low load factor peaking or swing loads of these customers.  The peaking tariff must establish a balance point of encouraging bypass and entry into the market by competitors, but not at the expense of core customers who could be left paying higher rates to subsidize the bypass customers.  SoCalGas is concerned that if there is uneconomic bypass, resulting in a significant loss of noncore throughput, the core customers could be responsible for up to $51 million of annual transportation revenues that would be undercollected.</w:t>
      </w:r>
      <w:r>
        <w:rPr>
          <w:rStyle w:val="FootnoteCharacters"/>
        </w:rPr>
        <w:t xml:space="preserve"> </w:t>
      </w:r>
      <w:r>
        <w:rPr>
          <w:rStyle w:val="FootnoteCharacters"/>
          <w:rStyle w:val="FootnoteReference"/>
        </w:rPr>
        <w:footnoteReference w:id="5"/>
      </w:r>
    </w:p>
    <w:p>
      <w:pPr>
        <w:pStyle w:val="standard"/>
        <w:rPr/>
      </w:pPr>
      <w:r>
        <w:rPr/>
        <w:t>Both SoCalGas rate proposals share four common elements:  (1) monthly customer charge; (2) Public Purpose Programs (PPP) charges; (3) daily balancing; and (4) applicability provisions.  SoCalGas presents these elements in the context of the market-based, and then the cost-based, tariffs.</w:t>
      </w:r>
    </w:p>
    <w:p>
      <w:pPr>
        <w:pStyle w:val="standard"/>
        <w:rPr/>
      </w:pPr>
      <w:r>
        <w:rPr/>
        <w:t>SoCalGas wants to ensure that the new tariff does not repeat the mistakes of the RLS tariff--discouraging new pipelines and bypass customers.  As presented below, SoCalGas posits that either one of its proposals would accomplish those objectives.</w:t>
      </w:r>
    </w:p>
    <w:p>
      <w:pPr>
        <w:pStyle w:val="Heading2"/>
        <w:rPr/>
      </w:pPr>
      <w:r>
        <w:rPr/>
        <w:t>Market-Based Peaking Rate</w:t>
      </w:r>
    </w:p>
    <w:p>
      <w:pPr>
        <w:pStyle w:val="sub1"/>
        <w:rPr/>
      </w:pPr>
      <w:r>
        <w:rPr/>
        <w:t>Under a market-based peaking tariff, SoCalGas would negotiate with the partial bypass customer to agree to a rate between a floor of SoCalGas’ short-run marginal cost (SRMC) and a ceiling which consists of a “revenue cap” formulated to guarantee that the partial bypass customer always avoids at least SoCalGas’ long-run marginal cost (LRMC).  SoCalGas alleges that this would allow it to compete on a par with the interstate pipelines that charge a customer a rate based on the capacity it uses on the system.  Under the straight-fixed variable (SFV) approach to rate design, SoCalGas claims higher utilization rates will lower the per unit charge.  Under SoCalGas’ current volumetric rate, the costs of providing service during peak usage are recovered over all the projected units.  SoCalGas maintains that this skews the cost comparisons for the customer when choosing between a capacity-based SFV charge and the volumetric charge and places SoCalGas at a competitive disadvantage.</w:t>
      </w:r>
    </w:p>
    <w:p>
      <w:pPr>
        <w:pStyle w:val="sub1"/>
        <w:rPr/>
      </w:pPr>
      <w:r>
        <w:rPr/>
        <w:t>SoCalGas’ proposes the following formula for the revenue cap.</w:t>
      </w:r>
    </w:p>
    <w:p>
      <w:pPr>
        <w:pStyle w:val="sub2"/>
        <w:spacing w:lineRule="auto" w:line="240"/>
        <w:ind w:hanging="0" w:start="1080" w:end="0"/>
        <w:rPr/>
      </w:pPr>
      <w:r>
        <w:rPr/>
        <w:t>Revenue Cap = (default tariff*total annual volume) – (LRMC*annual bypass volume)</w:t>
        <w:br/>
      </w:r>
    </w:p>
    <w:p>
      <w:pPr>
        <w:pStyle w:val="sub1"/>
        <w:rPr/>
      </w:pPr>
      <w:r>
        <w:rPr/>
        <w:t xml:space="preserve">SoCalGas claims that the revenue cap guarantees that the customer always retains an incentive to engage in bypass that is economic.  SoCalGas further asserts that the first term equals the customer’s total cost without bypass and that the cap ensures that the total cost to the customer will decrease by an amount equal to at least the LRMC that the utility avoids.  Therefore, SoCalGas maintains, if the competitor offers a bypass alternative at a rate that is below the utility’s long-run marginal cost, which means that the bypass is economic, the customer will have the clear incentive to accept that opportunity for economic bypass.  </w:t>
      </w:r>
    </w:p>
    <w:p>
      <w:pPr>
        <w:pStyle w:val="sub1"/>
        <w:rPr/>
      </w:pPr>
      <w:r>
        <w:rPr/>
        <w:t>SoCalGas contends that a market-based peaking service tariff will prevent core customers from bearing a higher burden for cost recovery avoided by the bypassing customers, will provide an incentive to the utility to be more competitive vis-à-vis alternative suppliers, and will send the right signal to potential investors in both pipeline and new large-volume consumers.</w:t>
      </w:r>
      <w:r>
        <w:rPr>
          <w:rStyle w:val="FootnoteCharacters"/>
        </w:rPr>
        <w:t xml:space="preserve"> </w:t>
      </w:r>
    </w:p>
    <w:p>
      <w:pPr>
        <w:pStyle w:val="sub1"/>
        <w:rPr/>
      </w:pPr>
      <w:r>
        <w:rPr/>
        <w:t>In support of its market-based rate proposal, SoCalGas assures the Commission that the rate negotiations will take place in a competitive environment with the bypass customers having alternatives.  If no agreement is reached, the bypass customer would pursue a more attractive alternative and not take peaking service from SoCalGas.  At that point, SoCalGas’s obligation to serve the bypass customer would extinguish.  As examples, SoCalGas suggests some of the following alternatives to its peaking service:  (1) additional pipeline capacity; (2) secondary capacity sold in a liquid and competitive market; (3) hub services, such as park and loan sold by pipelines and utilities; (4) access to non-SoCalGas owned storage via displacement from pipeline to pipeline; (5) unbundled off-system storage; (6) alternative independent storage services; and (7) swaps, electricity/gas price arbitrage.</w:t>
      </w:r>
    </w:p>
    <w:p>
      <w:pPr>
        <w:pStyle w:val="sub1"/>
        <w:rPr/>
      </w:pPr>
      <w:r>
        <w:rPr/>
        <w:t>To further bolster the attractiveness of the market-based rate, SoCalGas contends that it is “not the equivalent of the existing RLS tariff.”  Specifically, the ceiling on the RLS tariff was determined by the ratio of the customers’ pre-bypassed load factor to post-bypassed load factor.  The market-based rate references SoCalGas’ costs, otherwise applicable tariff rate, and the customer’s actual bypass volumes.  In addition, under the market-based proposal, the floor would be SoCalGas’ SRMC and the ceiling would be calculated pursuant to a formula that guarantees that a customer taking partial bypass service from SoCalGas will avoid at least SoCalGas’ class-average LRMC.  SoCalGas does admit, however, that in some cases, the ceiling rate under the market-based rate could be in excess of the ceiling rate under the RLS tariff.</w:t>
      </w:r>
    </w:p>
    <w:p>
      <w:pPr>
        <w:pStyle w:val="sub1"/>
        <w:rPr/>
      </w:pPr>
      <w:r>
        <w:rPr/>
        <w:t>SoCalGas does not perceive this as a detriment, however, since the ceiling rate is bounded by SoCalGas’ ability to charge in excess of the customer’s competitive alternative.  SoCalGas contends that there are plenty of cheap alternatives for the customers and the customer always avoids SoCalGas’ LRMC.  SoCalGas views this as the definition of economic versus uneconomic bypass.  If the bypass pipeline has a lower stand alone cost than SoCalGas’ LRMC, the customer will bypass.  But the customer will not bypass if the customer’s cost to do so is more than the marginal cost of utility service.</w:t>
        <w:tab/>
      </w:r>
    </w:p>
    <w:p>
      <w:pPr>
        <w:pStyle w:val="sub1"/>
        <w:rPr/>
      </w:pPr>
      <w:r>
        <w:rPr/>
        <w:t>Generally, with the exception of TURN, all protesting parties argue against a market-based peaking rate.  The other participants see SoCalGas as having market power so the competitive market necessary for a market-based rate does not exist.  Furthermore, many are concerned that without rate restraints, SoCalGas would have no incentive to negotiate a rate much below the ceiling rate, and that would prevent large customers from signing up with competing pipelines.  Such an outcome would discourage further pipeline competition and be detrimental to construction of new gas-fired electric generation plants.</w:t>
      </w:r>
    </w:p>
    <w:p>
      <w:pPr>
        <w:pStyle w:val="Heading2"/>
        <w:rPr/>
      </w:pPr>
      <w:r>
        <w:rPr/>
        <w:t>Cost-Based Peaking Rate</w:t>
      </w:r>
    </w:p>
    <w:p>
      <w:pPr>
        <w:pStyle w:val="sub1"/>
        <w:rPr/>
      </w:pPr>
      <w:r>
        <w:rPr/>
        <w:t>To address the concerns of the opponents of the RLS tariff that a market-based rate repeats the negative aspects of the tariff, SoCalGas also proposes a cost-based peaking rate similar to the SFV demand charge based rates of interstate pipelines.  This rate is not a negotiated rate, like a market-based rate, but is a tariff rate that is posted and does not vary except when rates are changed in SoCalGas’ regular ratesetting proceeding.  Under SFV pricing, the entire fixed cost of transportation is collected through a demand charge, with only the variable (i.e., fuel-related) costs collected through a volumetric charge.  The customer selects a maximum daily quantity (MDQ) to reserve capacity on the utility system to meet its peaking requirements.  There would be an over-run charge so as to provide an incentive for partial bypass customers to select an MDQ high enough to meet their needs.</w:t>
      </w:r>
    </w:p>
    <w:p>
      <w:pPr>
        <w:pStyle w:val="sub1"/>
        <w:rPr/>
      </w:pPr>
      <w:r>
        <w:rPr/>
        <w:t xml:space="preserve">The cost-based proposal collects the majority of transportation costs through a monthly demand charge that has both a customer charge and a reservation charge.  The customer charge will collect the total cost of the customer-related facilities using the annualized cost of customer related facilities adopted in the 1999 BCAP as a reasonable proxy.  The revenue associated with the customer-related facilities has been adjusted by the LRMC scaler to approximate the total cost of these facilities.  The reservation charge is comprised of the noncore related-LRMC facilities cost plus all non-fuel-related charges for transportation, such as the cost of SoCalGas’ various regulatory accounts, including the Interstate Transition Cost Surcharge (ITCS).  The rate also has a volumetric transportation rate that includes only SoCalGas’ variable transportation costs. </w:t>
      </w:r>
    </w:p>
    <w:p>
      <w:pPr>
        <w:pStyle w:val="sub1"/>
        <w:rPr/>
      </w:pPr>
      <w:r>
        <w:rPr/>
        <w:t>SoCalGas proposes to collect PPP charges, and in particular the California Alternative Rates for Energy (CARE) surcharge, from the partial bypass customer based on the total natural gas consumed by the customer, not just the volume transported by the utility.  CARE assists low-income families in paying for utility service.  To maximize the funds available, and minimize the impact to the general ratepayers SoCalGas proposes that the CARE surcharge should continue to be collected from the bypass customer so they do not forego their fair share for this social program.</w:t>
      </w:r>
    </w:p>
    <w:p>
      <w:pPr>
        <w:pStyle w:val="sub1"/>
        <w:rPr/>
      </w:pPr>
      <w:r>
        <w:rPr/>
        <w:t xml:space="preserve">SoCalGas also favors using daily balancing as an appropriate tariff condition for peaking service customers so they are held to the same standards required by alternative providers.  Daily balancing requires the customer to manage its own gas supply in a manner that does not adversely affect other customers on the system.  SoCalGas claims that the interstate pipelines require strict daily balancing by their customers because absent daily balancing, partial bypass customers could shift their load to the SoCalGas system when there is a price arbitrage opportunity or a disruption of service on the pipelines. </w:t>
      </w:r>
    </w:p>
    <w:p>
      <w:pPr>
        <w:pStyle w:val="sub1"/>
        <w:rPr/>
      </w:pPr>
      <w:r>
        <w:rPr/>
        <w:t xml:space="preserve">The cost-based proposal also retains the applicability provisions established in the initial decision establishing the RLS tariff (D.95-07-046) and upheld in the subsequent BCAP proceedings in 1996 (D.97-07-082) and 1999 (D.00-04-060). </w:t>
      </w:r>
    </w:p>
    <w:p>
      <w:pPr>
        <w:pStyle w:val="sub1"/>
        <w:rPr/>
      </w:pPr>
      <w:r>
        <w:rPr/>
        <w:t>Several respondents and intervenors presented testimony challenging SoCalGas’ cost-based rate.  Others, such as ORA and Watson, presented their own cost-based proposal.</w:t>
      </w:r>
    </w:p>
    <w:p>
      <w:pPr>
        <w:pStyle w:val="sub1"/>
        <w:rPr/>
      </w:pPr>
      <w:r>
        <w:rPr/>
        <w:t xml:space="preserve">TURN prefers the market-based proposal put forth by SoCalGas, but can support the cost-based plan.  TURN, however, does not believe that customers who have obtained service from a competitive pipeline supplier should have any right to demand the cost-based rate from SoCalGas.  </w:t>
      </w:r>
    </w:p>
    <w:p>
      <w:pPr>
        <w:pStyle w:val="sub1"/>
        <w:rPr/>
      </w:pPr>
      <w:r>
        <w:rPr/>
        <w:t xml:space="preserve">CIG and CMTA favor eliminating hurdles to gas competition and assert that the only way to entice interstate pipelines to initiate service into SoCalGas’ territory is to have several large customers, such as electric generators or refineries, etc. take bypass service.  These large customers oppose SoCalGas’ cost-based proposal as being anti-competitive since it allows recovery of the full fixed cost of transportation in the demand charge and fuel-related costs through a volumetric rate.  </w:t>
      </w:r>
    </w:p>
    <w:p>
      <w:pPr>
        <w:pStyle w:val="sub1"/>
        <w:rPr/>
      </w:pPr>
      <w:r>
        <w:rPr/>
        <w:t xml:space="preserve">Calpine opposes SoCalGas’ cost-based proposal on numerous grounds, and particularly because it imposes the peaking rate on all facilities held by a common owner if any single facility has a competitive alternative to SoCalGas--a carryover from the RLS tariff.  Calpine also does not want the peaking rate to apply to new customers, since SoCalGas’ existing pipeline was not designed to accommodate potential future customers. </w:t>
      </w:r>
    </w:p>
    <w:p>
      <w:pPr>
        <w:pStyle w:val="sub1"/>
        <w:rPr/>
      </w:pPr>
      <w:r>
        <w:rPr/>
        <w:t xml:space="preserve">Kern River and Questar oppose SoCalGas’ proposal because it allows for more cost recovery than for the costs associated with a true peaking rate. </w:t>
      </w:r>
    </w:p>
    <w:p>
      <w:pPr>
        <w:pStyle w:val="Heading1"/>
        <w:rPr/>
      </w:pPr>
      <w:r>
        <w:rPr/>
        <w:t>Other Proposals</w:t>
      </w:r>
    </w:p>
    <w:p>
      <w:pPr>
        <w:pStyle w:val="Heading2"/>
        <w:rPr/>
      </w:pPr>
      <w:r>
        <w:rPr/>
        <w:t>ORA’s Proposed Cost-Based Peaking Rate</w:t>
      </w:r>
    </w:p>
    <w:p>
      <w:pPr>
        <w:pStyle w:val="sub1"/>
        <w:rPr/>
      </w:pPr>
      <w:r>
        <w:rPr/>
        <w:t xml:space="preserve">ORA proposes its own cost-based peaking rate.  ORA is concerned that both SoCalGas’ proposed peaking rates will have the same negative long-term effect as the RLS tariff, which is to increase rates in the long term by driving large users out of SoCalGas’ territory and by inhibiting large users from entering the system.  ORA also finds flaws in SoCalGas’ cost-based rate methodology because (1) the rate was not developed for each specific, noncore class; (2) it uses a system-wide coincident peak day to develop the peaking rate; and (3) recovery of ITCS costs should be based on actual customer throughput.  </w:t>
      </w:r>
    </w:p>
    <w:p>
      <w:pPr>
        <w:pStyle w:val="sub1"/>
        <w:rPr/>
      </w:pPr>
      <w:r>
        <w:rPr/>
        <w:t>To address these inadequacies, ORA presents its own cost-based peaking rate that provides partial bypass customers an interruptible transportation service under a three-part rate.  The rate would be comprised of a customer charge, demand charge, and ITSC rate.  The customer charge parallels SoCalGas’ proposal.  The demand charge would be equivalent to the currently authorized end-use customer rate</w:t>
      </w:r>
      <w:r>
        <w:rPr>
          <w:rStyle w:val="FootnoteCharacters"/>
          <w:rStyle w:val="FootnoteReference"/>
        </w:rPr>
        <w:footnoteReference w:id="6"/>
      </w:r>
      <w:r>
        <w:rPr/>
        <w:t xml:space="preserve"> for the specific customer class and would be computed monthly.</w:t>
      </w:r>
      <w:r>
        <w:rPr>
          <w:rStyle w:val="FootnoteCharacters"/>
        </w:rPr>
        <w:t xml:space="preserve"> </w:t>
      </w:r>
      <w:r>
        <w:rPr>
          <w:rStyle w:val="FootnoteCharacters"/>
          <w:rStyle w:val="FootnoteReference"/>
        </w:rPr>
        <w:footnoteReference w:id="7"/>
      </w:r>
      <w:r>
        <w:rPr/>
        <w:t xml:space="preserve">  The ITCS rate, collected volumetrically, would be equal to the current noncore ITCS rate, and be applied to the actual recorded, monthly throughput.  In addition, ORA argues that the peaking rate should be applied to the requirements of individual facilities, rather than the customer’s aggregated demand for all its facilities, and that SoCalGas should provide a rate for interruptible service.</w:t>
      </w:r>
    </w:p>
    <w:p>
      <w:pPr>
        <w:pStyle w:val="sub1"/>
        <w:rPr/>
      </w:pPr>
      <w:r>
        <w:rPr/>
        <w:t xml:space="preserve">In summary, ORA does not oppose the concept of SoCalGas’ cost-based proposal, but argues that if the appropriate adjustments described above are made to the methodology, it would be acceptable to ORA.  </w:t>
      </w:r>
    </w:p>
    <w:p>
      <w:pPr>
        <w:pStyle w:val="sub1"/>
        <w:rPr/>
      </w:pPr>
      <w:r>
        <w:rPr/>
        <w:t>SoCalGas argues that using average noncore costs, rather than individual class average costs like ORA suggests, is more in line with closing the gap between SoCalGas and the interstate pipelines.  The pipelines do not typically differentiate between customer classes.  SoCalGas also asserts that its proposal to use the system-wide coincident peak day is more appropriate for figuring the demand rate charge than using a non-coincident day.  SoCalGas contends it is appropriate to collect ITCS in the demand charge, rather than through a volumetric rate, or recovery of the ITCS costs will shift to remaining customers.</w:t>
      </w:r>
    </w:p>
    <w:p>
      <w:pPr>
        <w:pStyle w:val="sub1"/>
        <w:rPr/>
      </w:pPr>
      <w:r>
        <w:rPr/>
        <w:t>Watson agrees with ORA’s proposed three-part customer charge, demand charge, and ITCS rate.  Watson, however, suggests several modifications:  (1) if peaking service is firm, peaking customers should receive high priority, if service is interruptible, the rate design should parallel FERC’s design for the interstate pipelines; (2) there should be no demand charge in months when peaking service not used; (3) the volumetric rate should recover all of the cost categories that SoCalGas allocates to noncore customers on a volumetric basis; (4) customer charges should be based on unscaled marginal customer costs; and (5) peaking customers should not be restricted to daily balancing.</w:t>
      </w:r>
    </w:p>
    <w:p>
      <w:pPr>
        <w:pStyle w:val="sub1"/>
        <w:rPr/>
      </w:pPr>
      <w:r>
        <w:rPr/>
        <w:t xml:space="preserve">TURN takes issue with two facets of ORA’s proposed peaking rate.  First, TURN disagrees with ORA position that the peaking rate should apply separately to individual customer facilities rather than to the aggregate usage of the customer in the case of those multiple facilities.  Rather, TURN agrees with SoCalGas that it should apply to any customer with multiple facilities.  Second, TURN does not agree with ORA that a peaking rate should continue to collect ITCS costs, but agrees with SoCalGas that it should be recovered in the demand charge. </w:t>
      </w:r>
    </w:p>
    <w:p>
      <w:pPr>
        <w:pStyle w:val="sub1"/>
        <w:rPr/>
      </w:pPr>
      <w:r>
        <w:rPr/>
        <w:t xml:space="preserve">Kern River agrees with ORA that there will be positive benefits to all California ratepayers form additional interstate pipeline capacity, but does not endorse ORA’s proposal.  Instead, Kern River agrees with ORA’s criticisms of SoCalGas’ proposals, but can not accept the suggestion of an interruptible peaking service based on a demand charge, instead of volumetric rates.   </w:t>
      </w:r>
    </w:p>
    <w:p>
      <w:pPr>
        <w:pStyle w:val="Heading2"/>
        <w:rPr/>
      </w:pPr>
      <w:r>
        <w:rPr/>
        <w:t>Watson Cogeneration Proposal</w:t>
      </w:r>
    </w:p>
    <w:p>
      <w:pPr>
        <w:pStyle w:val="sub1"/>
        <w:rPr/>
      </w:pPr>
      <w:r>
        <w:rPr/>
        <w:t xml:space="preserve">Watson, currently the largest cogeneration customer on the SoCalGas system, favors more competitive gas supplies in the Los Angeles region, but maintains that even with more pipelines, it will still need peaking service from SoCalGas.  </w:t>
      </w:r>
    </w:p>
    <w:p>
      <w:pPr>
        <w:pStyle w:val="sub1"/>
        <w:rPr/>
      </w:pPr>
      <w:r>
        <w:rPr/>
        <w:t>To address these concerns, Watson proposes its own cost-based peaking tariff.</w:t>
      </w:r>
      <w:r>
        <w:rPr>
          <w:rStyle w:val="FootnoteCharacters"/>
        </w:rPr>
        <w:t xml:space="preserve"> </w:t>
      </w:r>
      <w:r>
        <w:rPr>
          <w:rStyle w:val="FootnoteCharacters"/>
          <w:rStyle w:val="FootnoteReference"/>
        </w:rPr>
        <w:footnoteReference w:id="8"/>
      </w:r>
      <w:r>
        <w:rPr/>
        <w:t xml:space="preserve">  Watson asserts that the new rate should have three key attributes:  address peaking service on both a firm and interruptible basis, be based on SoCalGas’ costs, and be calculated on SoCalGas’ current rate structure set forth in the recent BCAP decision, D.00-04-060.  With these attributes, Watson argues that its proposal closes the gap between SoCalGas and the interstate pipeline rates. </w:t>
      </w:r>
    </w:p>
    <w:p>
      <w:pPr>
        <w:pStyle w:val="sub1"/>
        <w:rPr/>
      </w:pPr>
      <w:r>
        <w:rPr/>
        <w:t>Under the Watson proposal, the charge for firm service would include the same cost elements of transmission and customer costs that interstate pipelines recover through their SFV reservation charges, consisting of backbone transmission; local transmission; and customer costs.  Any remaining SoCalGas costs would be collected in a volumetric rate.  In addition,  Watson opposes SoCalGas’ requirement that customers balance their deliveries and burns on a daily basis.  Instead, Watson proposes that peaking customers should be allowed to use the full range of balancing services, from “bare bones” daily balancing to a more expensive monthly balancing service, that are available to regular customers.  None of the other competing pipelines offer these more flexible services.</w:t>
      </w:r>
    </w:p>
    <w:p>
      <w:pPr>
        <w:pStyle w:val="sub1"/>
        <w:rPr/>
      </w:pPr>
      <w:r>
        <w:rPr/>
        <w:t xml:space="preserve">Watson’s proposed rate for interruptible service is a volumetric charge that is negotiable up to a maximum rate set at 120% of the peaking demand charge (backbone and local) at a 100% load factor, plus the volumetric portion of the firm peaking rate.  Watson also proposes that customers should not have to pay the local transmission portion of the peaking demand charge in months in which they do not use peaking service.  Instead, Watson suggests that the local transmission demand charge should be assessed based on a customer’s demand on the system peak day.  This way, a peaking customer does pay for service for the entire month--even if it only uses it once.  </w:t>
      </w:r>
    </w:p>
    <w:p>
      <w:pPr>
        <w:pStyle w:val="sub1"/>
        <w:rPr/>
      </w:pPr>
      <w:r>
        <w:rPr/>
        <w:t xml:space="preserve">Watson proposes that the peaking rate apply to individual facilities rather than the multiple facilities of a single customer.  This is in contrast to SoCalGas’ proposal that the multi-unit electric generator provision is still appropriate.    </w:t>
      </w:r>
    </w:p>
    <w:p>
      <w:pPr>
        <w:pStyle w:val="sub1"/>
        <w:rPr/>
      </w:pPr>
      <w:r>
        <w:rPr/>
        <w:t>In general, SoCalGas opposes the Watson proposal because it gives the bypass customers service from SoCalGas at the standard class average tariff, without any recovery for demand charges for firm service.  Specifically, SoCalGas contests against Watson’s peaking demand charge proposal where SoCalGas would be required to reserve firm peaking capacity all year long, but charge a bypass customer only in the month when the capacity is used.  SoCalGas also opposes Watson’s suggestion to use the peaking customer’s usage on the most recent coincident system peak day to calculate the monthly demand charge.  This methodology gives an advantage to summer peaking customers, who might have little or no throughput on the coincident system peak-day that occurs during the winter.  Basically, this rate is the equivalent to SoCalGas’ volumetric tariff for full requirement customers.  SoCalGas is concerned that it would underrecover its costs if it had to reserve capacity to provide it on demand even when it is not used, and its remaining captive customers would ultimately pay for this reservation.</w:t>
      </w:r>
    </w:p>
    <w:p>
      <w:pPr>
        <w:pStyle w:val="sub1"/>
        <w:rPr/>
      </w:pPr>
      <w:r>
        <w:rPr/>
        <w:t>SoCalGas argues that if it offered interruptible service, the bypass customers would get the equivalent of firm service, paying at a volumetric rate, which shifts costs to the captive customers.  SoCalGas views the large customers as wanting a free ride on back of SoCalGas and the captive customers the interstate pipelines will not serve.  SoCalGas contends that its proposal guarantees that any partial bypass customer will save the costs that are saved on the system (the long-run marginal costs) when SoCalGas does not have to serve it, but not at the expense of the core customer.</w:t>
      </w:r>
    </w:p>
    <w:p>
      <w:pPr>
        <w:pStyle w:val="sub1"/>
        <w:rPr/>
      </w:pPr>
      <w:r>
        <w:rPr/>
        <w:t>Kern River and Questar prefer the Watson cost-based peaking rate over SoCalGas’ cost-based rate because it allows shippers to mitigate fixed reservation charges.  They also prefer Watson’s proposal using a volumetric local transmission rate on the theory that local transmission will not be tradable on secondary markets.</w:t>
      </w:r>
    </w:p>
    <w:p>
      <w:pPr>
        <w:pStyle w:val="sub1"/>
        <w:rPr/>
      </w:pPr>
      <w:r>
        <w:rPr/>
        <w:t>In general, the large customers--ones most likely to bypass the SoCalGas system and only need peaking service from SoCalGas--support Watson’s cost-based proposal because it favors large users.  To support their opposition to SoCalGas’ proposal the large users argue that it would have an effective volumetric rate that is actually higher than the cap on the old RLS tariff.  This is theoretically possible because under SoCalGas’ proposal the unit rate is calculated by dividing noncore margin by the noncore throughput on the system peak in the winter (when noncore throughput is relatively low).  This high unit rate is then applied to the peak-month demand of the customer.</w:t>
      </w:r>
    </w:p>
    <w:p>
      <w:pPr>
        <w:pStyle w:val="sub1"/>
        <w:rPr/>
      </w:pPr>
      <w:r>
        <w:rPr/>
        <w:t xml:space="preserve">Large customers also want the peaking rate to apply to individual facilities, rather than the multiple facilities of a single owner.  These customers also want interruptible service, do not want the rate to apply to new customers, and do not want to pay a monthly demand charge for months in which peaking service is not used.  </w:t>
      </w:r>
    </w:p>
    <w:p>
      <w:pPr>
        <w:pStyle w:val="sub1"/>
        <w:rPr/>
      </w:pPr>
      <w:r>
        <w:rPr/>
        <w:t>These large customers favor Watson’s volumetric rate option because under the Watson proposal, local transmission service is not unbundled, and they support Watson’s suggestion that customers have the right to purchase interruptible backbone transportation under a rate which is negotiable, up to a cap equal to 120% of the embedded cost of firm backbone service.</w:t>
      </w:r>
    </w:p>
    <w:p>
      <w:pPr>
        <w:pStyle w:val="Heading1"/>
        <w:tabs>
          <w:tab w:val="clear" w:pos="360"/>
          <w:tab w:val="left" w:pos="450" w:leader="none"/>
        </w:tabs>
        <w:rPr/>
      </w:pPr>
      <w:r>
        <w:rPr/>
        <w:t>Analysis</w:t>
      </w:r>
    </w:p>
    <w:p>
      <w:pPr>
        <w:pStyle w:val="standard"/>
        <w:rPr/>
      </w:pPr>
      <w:r>
        <w:rPr/>
        <w:t xml:space="preserve">We adopt a cost-based peaking tariff that adopts the basic components advanced by SoCalGas, but as amended to address concerns raised by ORA and others.  We find that cost-based pricing mechanism proposed by SoCalGas, with the modifications suggested by ORA, is consistent with our policy of promoting economic bypass.  ORA suggests basing the peaking rate using the non-coincident noncore peak day, rather than the coincident system peak-day.  Partial bypass customers will pay tariffed rates for service at a rate comparable to current end-use customers.  However, those customers will pay for the demand that they place on the system based on the highest monthly usage on a 12-month moving basis.  This allows fair compensation to the utility toward system costs to the benefit of all ratepayers, but does not require that bypass customers reserve system capacity based on a peak-day requirement as SoCalGas suggests. </w:t>
      </w:r>
    </w:p>
    <w:p>
      <w:pPr>
        <w:pStyle w:val="standard"/>
        <w:rPr/>
      </w:pPr>
      <w:r>
        <w:rPr/>
        <w:t>We are concerned that SoCalGas’ market-based proposal produces perverse results, as we explain below.  We are not convinced that either SoCalGas’ market-based proposal or Watson’s hybrid reflect market realities.  There is no market, as such, for peaking rates.  There is no other pipeline offering a peaking rate in competition with SoCalGas.  SoCalGas’ formula discourages large volume bypass, and Watson’s proposal discounts very heavily for the large users and could impact captive customers unfairly.</w:t>
      </w:r>
    </w:p>
    <w:p>
      <w:pPr>
        <w:pStyle w:val="standard"/>
        <w:rPr/>
      </w:pPr>
      <w:r>
        <w:rPr/>
        <w:t xml:space="preserve">Furthermore, SoCalGas’s revenue cap produces certain perverse results.  We test the SoCalGas revenue cap with a hypothetical example.  We assume for the purpose of the hypothetical that the default tariff is 4 cents a therm and the customer’s total annual volume is 100,000 therms or 100 Mtherms.  Table 1 shows the results of the hypothetical under varying bypass volume, LRMC, and bypass rate.  It is clear that SoCalGas’ revenue cap formula produces perverse results because, as the utility’ LRMC and bypass rate go down, the revenue cap stays the same, while the total cost for the customer goes up.  SoCalGas’ revenue cap has little to do with marginal cost or economic bypass and much to do with keeping the customer cost the same even though the competitive pipeline offers a lower rate and the utility marginal cost is lower.   Furthermore, the revenue cap goes up as the customer’s bypass volume goes down, hardly a result that SoCalGas would desire.  It is evident therefore that SoCalGas’ market based rate would provide customers with an incentive to bypass the SoCalGas system altogether and could, in certain situations, prove to be more punitive than the RLS tariff. </w:t>
      </w:r>
    </w:p>
    <w:p>
      <w:pPr>
        <w:pStyle w:val="standard"/>
        <w:rPr/>
      </w:pPr>
      <w:r>
        <w:rPr/>
        <w:t>We, therefore, reject the SoCalGas proposal for a market-based peaking rate:</w:t>
      </w:r>
    </w:p>
    <w:p>
      <w:pPr>
        <w:pStyle w:val="sub1"/>
        <w:jc w:val="center"/>
        <w:rPr>
          <w:b/>
        </w:rPr>
      </w:pPr>
      <w:r>
        <w:rPr>
          <w:b/>
        </w:rPr>
        <w:t>Table 1</w:t>
      </w:r>
    </w:p>
    <w:p>
      <w:pPr>
        <w:pStyle w:val="sub1"/>
        <w:jc w:val="center"/>
        <w:rPr/>
      </w:pPr>
      <w:r>
        <w:rPr/>
        <w:t>SoCalGas Peaking Rate Revenue Cap</w:t>
      </w:r>
    </w:p>
    <w:tbl>
      <w:tblPr>
        <w:tblW w:w="9576" w:type="dxa"/>
        <w:jc w:val="start"/>
        <w:tblInd w:w="0" w:type="dxa"/>
        <w:tblLayout w:type="fixed"/>
        <w:tblCellMar>
          <w:top w:w="0" w:type="dxa"/>
          <w:start w:w="108" w:type="dxa"/>
          <w:bottom w:w="0" w:type="dxa"/>
          <w:end w:w="108" w:type="dxa"/>
        </w:tblCellMar>
      </w:tblPr>
      <w:tblGrid>
        <w:gridCol w:w="1197"/>
        <w:gridCol w:w="1197"/>
        <w:gridCol w:w="1197"/>
        <w:gridCol w:w="1197"/>
        <w:gridCol w:w="1197"/>
        <w:gridCol w:w="1197"/>
        <w:gridCol w:w="1197"/>
        <w:gridCol w:w="1197"/>
      </w:tblGrid>
      <w:tr>
        <w:trPr/>
        <w:tc>
          <w:tcPr>
            <w:tcW w:w="1197" w:type="dxa"/>
            <w:tcBorders>
              <w:top w:val="single" w:sz="4" w:space="0" w:color="000000"/>
              <w:start w:val="single" w:sz="4" w:space="0" w:color="000000"/>
              <w:bottom w:val="single" w:sz="4" w:space="0" w:color="000000"/>
              <w:end w:val="single" w:sz="4" w:space="0" w:color="000000"/>
            </w:tcBorders>
          </w:tcPr>
          <w:p>
            <w:pPr>
              <w:pStyle w:val="sub1"/>
              <w:snapToGrid w:val="false"/>
              <w:spacing w:lineRule="auto" w:line="240"/>
              <w:ind w:hanging="0" w:end="0"/>
              <w:rPr>
                <w:sz w:val="22"/>
              </w:rPr>
            </w:pPr>
            <w:r>
              <w:rPr>
                <w:sz w:val="22"/>
              </w:rPr>
            </w:r>
          </w:p>
          <w:p>
            <w:pPr>
              <w:pStyle w:val="sub1"/>
              <w:spacing w:lineRule="auto" w:line="240"/>
              <w:ind w:hanging="0" w:end="0"/>
              <w:jc w:val="center"/>
              <w:rPr>
                <w:sz w:val="22"/>
              </w:rPr>
            </w:pPr>
            <w:r>
              <w:rPr>
                <w:sz w:val="22"/>
              </w:rPr>
              <w:t>Total Vol. Therms</w:t>
            </w:r>
          </w:p>
        </w:tc>
        <w:tc>
          <w:tcPr>
            <w:tcW w:w="1197" w:type="dxa"/>
            <w:tcBorders>
              <w:top w:val="single" w:sz="4" w:space="0" w:color="000000"/>
              <w:start w:val="single" w:sz="4" w:space="0" w:color="000000"/>
              <w:bottom w:val="single" w:sz="4" w:space="0" w:color="000000"/>
              <w:end w:val="single" w:sz="4" w:space="0" w:color="000000"/>
            </w:tcBorders>
          </w:tcPr>
          <w:p>
            <w:pPr>
              <w:pStyle w:val="sub1"/>
              <w:spacing w:lineRule="auto" w:line="240"/>
              <w:ind w:hanging="0" w:end="0"/>
              <w:jc w:val="center"/>
              <w:rPr>
                <w:sz w:val="22"/>
              </w:rPr>
            </w:pPr>
            <w:r>
              <w:rPr>
                <w:sz w:val="22"/>
              </w:rPr>
              <w:t>Bypass Vol. therms</w:t>
            </w:r>
          </w:p>
        </w:tc>
        <w:tc>
          <w:tcPr>
            <w:tcW w:w="1197" w:type="dxa"/>
            <w:tcBorders>
              <w:top w:val="single" w:sz="4" w:space="0" w:color="000000"/>
              <w:start w:val="single" w:sz="4" w:space="0" w:color="000000"/>
              <w:bottom w:val="single" w:sz="4" w:space="0" w:color="000000"/>
              <w:end w:val="single" w:sz="4" w:space="0" w:color="000000"/>
            </w:tcBorders>
          </w:tcPr>
          <w:p>
            <w:pPr>
              <w:pStyle w:val="sub1"/>
              <w:spacing w:lineRule="auto" w:line="240"/>
              <w:ind w:hanging="0" w:end="0"/>
              <w:jc w:val="center"/>
              <w:rPr>
                <w:sz w:val="22"/>
              </w:rPr>
            </w:pPr>
            <w:r>
              <w:rPr>
                <w:sz w:val="22"/>
              </w:rPr>
              <w:t>Default Rate</w:t>
            </w:r>
          </w:p>
          <w:p>
            <w:pPr>
              <w:pStyle w:val="sub1"/>
              <w:spacing w:lineRule="auto" w:line="240"/>
              <w:ind w:hanging="0" w:end="0"/>
              <w:jc w:val="center"/>
              <w:rPr>
                <w:sz w:val="22"/>
              </w:rPr>
            </w:pPr>
            <w:r>
              <w:rPr>
                <w:sz w:val="22"/>
              </w:rPr>
              <w:t>¢/therm</w:t>
            </w:r>
          </w:p>
        </w:tc>
        <w:tc>
          <w:tcPr>
            <w:tcW w:w="1197" w:type="dxa"/>
            <w:tcBorders>
              <w:top w:val="single" w:sz="4" w:space="0" w:color="000000"/>
              <w:start w:val="single" w:sz="4" w:space="0" w:color="000000"/>
              <w:bottom w:val="single" w:sz="4" w:space="0" w:color="000000"/>
              <w:end w:val="single" w:sz="4" w:space="0" w:color="000000"/>
            </w:tcBorders>
          </w:tcPr>
          <w:p>
            <w:pPr>
              <w:pStyle w:val="sub1"/>
              <w:snapToGrid w:val="false"/>
              <w:spacing w:lineRule="auto" w:line="240"/>
              <w:ind w:hanging="0" w:end="0"/>
              <w:jc w:val="center"/>
              <w:rPr>
                <w:sz w:val="22"/>
              </w:rPr>
            </w:pPr>
            <w:r>
              <w:rPr>
                <w:sz w:val="22"/>
              </w:rPr>
            </w:r>
          </w:p>
          <w:p>
            <w:pPr>
              <w:pStyle w:val="sub1"/>
              <w:spacing w:lineRule="auto" w:line="240"/>
              <w:ind w:hanging="0" w:end="0"/>
              <w:jc w:val="center"/>
              <w:rPr>
                <w:sz w:val="22"/>
              </w:rPr>
            </w:pPr>
            <w:r>
              <w:rPr>
                <w:sz w:val="22"/>
              </w:rPr>
              <w:t>LRMC ¢/therm</w:t>
            </w:r>
          </w:p>
        </w:tc>
        <w:tc>
          <w:tcPr>
            <w:tcW w:w="1197" w:type="dxa"/>
            <w:tcBorders>
              <w:top w:val="single" w:sz="4" w:space="0" w:color="000000"/>
              <w:start w:val="single" w:sz="4" w:space="0" w:color="000000"/>
              <w:bottom w:val="single" w:sz="4" w:space="0" w:color="000000"/>
              <w:end w:val="single" w:sz="4" w:space="0" w:color="000000"/>
            </w:tcBorders>
          </w:tcPr>
          <w:p>
            <w:pPr>
              <w:pStyle w:val="sub1"/>
              <w:spacing w:lineRule="auto" w:line="240"/>
              <w:ind w:hanging="0" w:end="0"/>
              <w:jc w:val="center"/>
              <w:rPr>
                <w:sz w:val="22"/>
              </w:rPr>
            </w:pPr>
            <w:r>
              <w:rPr>
                <w:sz w:val="22"/>
              </w:rPr>
              <w:t>Bypass Rate ¢/</w:t>
            </w:r>
          </w:p>
          <w:p>
            <w:pPr>
              <w:pStyle w:val="sub1"/>
              <w:spacing w:lineRule="auto" w:line="240"/>
              <w:ind w:hanging="0" w:end="0"/>
              <w:jc w:val="center"/>
              <w:rPr>
                <w:sz w:val="22"/>
              </w:rPr>
            </w:pPr>
            <w:r>
              <w:rPr>
                <w:sz w:val="22"/>
              </w:rPr>
              <w:t>therm</w:t>
            </w:r>
          </w:p>
        </w:tc>
        <w:tc>
          <w:tcPr>
            <w:tcW w:w="1197" w:type="dxa"/>
            <w:tcBorders>
              <w:top w:val="single" w:sz="4" w:space="0" w:color="000000"/>
              <w:start w:val="single" w:sz="4" w:space="0" w:color="000000"/>
              <w:bottom w:val="single" w:sz="4" w:space="0" w:color="000000"/>
              <w:end w:val="single" w:sz="4" w:space="0" w:color="000000"/>
            </w:tcBorders>
          </w:tcPr>
          <w:p>
            <w:pPr>
              <w:pStyle w:val="sub1"/>
              <w:snapToGrid w:val="false"/>
              <w:spacing w:lineRule="auto" w:line="240"/>
              <w:ind w:hanging="0" w:end="0"/>
              <w:rPr>
                <w:sz w:val="22"/>
              </w:rPr>
            </w:pPr>
            <w:r>
              <w:rPr>
                <w:sz w:val="22"/>
              </w:rPr>
            </w:r>
          </w:p>
          <w:p>
            <w:pPr>
              <w:pStyle w:val="sub1"/>
              <w:spacing w:lineRule="auto" w:line="240"/>
              <w:ind w:hanging="0" w:end="0"/>
              <w:jc w:val="center"/>
              <w:rPr>
                <w:sz w:val="22"/>
              </w:rPr>
            </w:pPr>
            <w:r>
              <w:rPr>
                <w:sz w:val="22"/>
              </w:rPr>
              <w:t>Rev. Cap</w:t>
            </w:r>
          </w:p>
          <w:p>
            <w:pPr>
              <w:pStyle w:val="sub1"/>
              <w:spacing w:lineRule="auto" w:line="240"/>
              <w:ind w:hanging="0" w:end="0"/>
              <w:jc w:val="center"/>
              <w:rPr>
                <w:sz w:val="22"/>
              </w:rPr>
            </w:pPr>
            <w:r>
              <w:rPr>
                <w:sz w:val="22"/>
              </w:rPr>
              <w:t>$</w:t>
            </w:r>
          </w:p>
        </w:tc>
        <w:tc>
          <w:tcPr>
            <w:tcW w:w="1197" w:type="dxa"/>
            <w:tcBorders>
              <w:top w:val="single" w:sz="4" w:space="0" w:color="000000"/>
              <w:start w:val="single" w:sz="4" w:space="0" w:color="000000"/>
              <w:bottom w:val="single" w:sz="4" w:space="0" w:color="000000"/>
              <w:end w:val="single" w:sz="4" w:space="0" w:color="000000"/>
            </w:tcBorders>
          </w:tcPr>
          <w:p>
            <w:pPr>
              <w:pStyle w:val="sub1"/>
              <w:snapToGrid w:val="false"/>
              <w:spacing w:lineRule="auto" w:line="240"/>
              <w:ind w:hanging="0" w:end="0"/>
              <w:jc w:val="center"/>
              <w:rPr>
                <w:sz w:val="22"/>
              </w:rPr>
            </w:pPr>
            <w:r>
              <w:rPr>
                <w:sz w:val="22"/>
              </w:rPr>
            </w:r>
          </w:p>
          <w:p>
            <w:pPr>
              <w:pStyle w:val="sub1"/>
              <w:spacing w:lineRule="auto" w:line="240"/>
              <w:ind w:hanging="0" w:end="0"/>
              <w:jc w:val="center"/>
              <w:rPr>
                <w:sz w:val="22"/>
              </w:rPr>
            </w:pPr>
            <w:r>
              <w:rPr>
                <w:sz w:val="22"/>
              </w:rPr>
              <w:t>Rev. Cap ¢/therm</w:t>
            </w:r>
          </w:p>
        </w:tc>
        <w:tc>
          <w:tcPr>
            <w:tcW w:w="1197" w:type="dxa"/>
            <w:tcBorders>
              <w:top w:val="single" w:sz="4" w:space="0" w:color="000000"/>
              <w:start w:val="single" w:sz="4" w:space="0" w:color="000000"/>
              <w:bottom w:val="single" w:sz="4" w:space="0" w:color="000000"/>
              <w:end w:val="single" w:sz="4" w:space="0" w:color="000000"/>
            </w:tcBorders>
          </w:tcPr>
          <w:p>
            <w:pPr>
              <w:pStyle w:val="sub1"/>
              <w:spacing w:lineRule="auto" w:line="240"/>
              <w:ind w:hanging="0" w:end="0"/>
              <w:jc w:val="center"/>
              <w:rPr>
                <w:sz w:val="22"/>
              </w:rPr>
            </w:pPr>
            <w:r>
              <w:rPr>
                <w:sz w:val="22"/>
              </w:rPr>
              <w:t>Total Cust Cost $</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80,000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3</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1600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8.00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3200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60,000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3</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2200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5.50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3400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40,000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3</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2800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4.67</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3600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3</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3100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4.43</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3700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20,000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3</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3400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4.25</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3800</w:t>
            </w:r>
          </w:p>
        </w:tc>
      </w:tr>
    </w:tbl>
    <w:p>
      <w:pPr>
        <w:pStyle w:val="sub1"/>
        <w:rPr/>
      </w:pPr>
      <w:r>
        <w:rPr/>
      </w:r>
    </w:p>
    <w:tbl>
      <w:tblPr>
        <w:tblW w:w="9576" w:type="dxa"/>
        <w:jc w:val="start"/>
        <w:tblInd w:w="0" w:type="dxa"/>
        <w:tblLayout w:type="fixed"/>
        <w:tblCellMar>
          <w:top w:w="0" w:type="dxa"/>
          <w:start w:w="108" w:type="dxa"/>
          <w:bottom w:w="0" w:type="dxa"/>
          <w:end w:w="108" w:type="dxa"/>
        </w:tblCellMar>
      </w:tblPr>
      <w:tblGrid>
        <w:gridCol w:w="1197"/>
        <w:gridCol w:w="1197"/>
        <w:gridCol w:w="1197"/>
        <w:gridCol w:w="1197"/>
        <w:gridCol w:w="1197"/>
        <w:gridCol w:w="1197"/>
        <w:gridCol w:w="1197"/>
        <w:gridCol w:w="1197"/>
      </w:tblGrid>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80,000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1</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2400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12.00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3200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60,000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1</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2800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7.00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3400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40,000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1</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3200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5.33</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3600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1</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3400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4.86</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3700</w:t>
            </w:r>
          </w:p>
        </w:tc>
      </w:tr>
      <w:tr>
        <w:trPr/>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100,000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20,000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2</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1</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3600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jc w:val="center"/>
              <w:rPr/>
            </w:pPr>
            <w:r>
              <w:rPr/>
              <w:t>4.50</w:t>
            </w:r>
          </w:p>
        </w:tc>
        <w:tc>
          <w:tcPr>
            <w:tcW w:w="1197" w:type="dxa"/>
            <w:tcBorders>
              <w:top w:val="single" w:sz="4" w:space="0" w:color="000000"/>
              <w:start w:val="single" w:sz="4" w:space="0" w:color="000000"/>
              <w:bottom w:val="single" w:sz="4" w:space="0" w:color="000000"/>
              <w:end w:val="single" w:sz="4" w:space="0" w:color="000000"/>
            </w:tcBorders>
          </w:tcPr>
          <w:p>
            <w:pPr>
              <w:pStyle w:val="sub1"/>
              <w:ind w:hanging="0" w:end="0"/>
              <w:rPr/>
            </w:pPr>
            <w:r>
              <w:rPr/>
              <w:t>3800</w:t>
            </w:r>
          </w:p>
        </w:tc>
      </w:tr>
    </w:tbl>
    <w:p>
      <w:pPr>
        <w:pStyle w:val="sub1"/>
        <w:rPr/>
      </w:pPr>
      <w:r>
        <w:rPr/>
      </w:r>
    </w:p>
    <w:p>
      <w:pPr>
        <w:pStyle w:val="standard"/>
        <w:rPr/>
      </w:pPr>
      <w:r>
        <w:rPr/>
        <w:t xml:space="preserve">We also find a number of points in Watson’s proposal unacceptable.  To begin, Watson’s arguments in support of more balancing options, are not reasonable.  SoCalGas suggests balancing of nominations and burns to +/-5% on a daily basis and +/-1% on a monthly basis.  Daily balancing requires the customers to manage their own gas supplies in a manner that does not adversely affect other customers on the system.  All the interstate pipelines serving SoCalGas’ market have daily balancing requirements, and some even have tighter provisions.  ORA agrees with the daily balancing requirement advanced by SoCalGas.  </w:t>
      </w:r>
    </w:p>
    <w:p>
      <w:pPr>
        <w:pStyle w:val="standard"/>
        <w:rPr/>
      </w:pPr>
      <w:r>
        <w:rPr/>
        <w:t xml:space="preserve">On the other hand, Watson’s proposal to allow for a full range of balancing choices would disproportionately benefit customers with erratic load profiles that do not align their deliveries with their consumption pattern over customers that make an effort to match their burns and deliveries.  Monthly balancing would allow bypass customers to avoid imbalance penalties on the interstate pipeline and realize price arbitrage opportunities not available on the interstate pipeline.  Under current natural gas market conditions, where the price of gas is very high, more relaxed balancing provisions might encourage the peaking customers to use SoCalGas’ balancing as a price arbitrage tool which would impose additional burdens on captive customers.  </w:t>
      </w:r>
    </w:p>
    <w:p>
      <w:pPr>
        <w:pStyle w:val="standard"/>
        <w:rPr/>
      </w:pPr>
      <w:r>
        <w:rPr/>
        <w:t xml:space="preserve">Watson’s proposed peaking rate tariff is also untenable because it advocates that local transmission charges would be collected through a quasi-demand charge that would only be paid in months that a customer takes peaking service.  The monthly demand charge would be calculated by using the peaking customer’s usage on the most recent coincident system peak day--which would advantage summer peaking customers such as electric generators.  The end result is peaking customers’ rate would approximate the tariff rate for full requirements customers.  </w:t>
      </w:r>
    </w:p>
    <w:p>
      <w:pPr>
        <w:pStyle w:val="Heading2"/>
        <w:rPr/>
      </w:pPr>
      <w:r>
        <w:rPr/>
        <w:t>Cost-Based Peaking Tariff Rate</w:t>
      </w:r>
    </w:p>
    <w:p>
      <w:pPr>
        <w:pStyle w:val="sub1"/>
        <w:rPr/>
      </w:pPr>
      <w:r>
        <w:rPr/>
        <w:t>Cost-based rates are grounded in good economic theory, rates established by the Commission are generally cost-based,</w:t>
      </w:r>
      <w:r>
        <w:rPr>
          <w:rStyle w:val="FootnoteCharacters"/>
        </w:rPr>
        <w:t xml:space="preserve"> </w:t>
      </w:r>
      <w:r>
        <w:rPr>
          <w:rStyle w:val="FootnoteCharacters"/>
          <w:rStyle w:val="FootnoteReference"/>
        </w:rPr>
        <w:footnoteReference w:id="9"/>
      </w:r>
      <w:r>
        <w:rPr/>
        <w:t xml:space="preserve"> and there is sufficient precedent and history to support this rate mechanism.  The cost-based rate we adopt for SoCalGas’ peaking tariff will include the following components:</w:t>
      </w:r>
    </w:p>
    <w:p>
      <w:pPr>
        <w:pStyle w:val="Heading3"/>
        <w:tabs>
          <w:tab w:val="clear" w:pos="720"/>
          <w:tab w:val="left" w:pos="1440" w:leader="none"/>
        </w:tabs>
        <w:ind w:start="1080" w:end="2160"/>
        <w:rPr/>
      </w:pPr>
      <w:r>
        <w:rPr/>
        <w:t>Customer Charge</w:t>
      </w:r>
    </w:p>
    <w:p>
      <w:pPr>
        <w:pStyle w:val="sub2"/>
        <w:rPr/>
      </w:pPr>
      <w:r>
        <w:rPr/>
        <w:t xml:space="preserve">The customer charge is designed to collect the total cost of the customer-related facilities through a monthly demand charge.  SoCalGas uses the annualized cost of customer-related facilities adopted in the 1999 BCAP as a proxy for an assessment of the meter and associated facilities.  SoCalGas then adjusts the revenue associated with the customer-related facilities by the Long Run Marginal Cost (LRMC) scaler to approximate the total cost of these facilities.  </w:t>
      </w:r>
    </w:p>
    <w:p>
      <w:pPr>
        <w:pStyle w:val="sub2"/>
        <w:rPr/>
      </w:pPr>
      <w:r>
        <w:rPr/>
        <w:t xml:space="preserve">The monthly customer charge in SoCalGas’ otherwise applicable tariff, GT-F for retail noncore customers, does not recover the full cost of the customer-related facilities.  For GT-F customers, a portion of the customer-related costs is collected through the customer’s volumetric transportation rate.  For full-requirements customers, the utility has a reasonable expectation of recovering the customer-related costs.  However, the utility cannot know the extent to which a bypass customer will take service from the utility.  Therefore, SoCalGas believes, it is reasonable to permit SoCalGas to collect the full cost of the customer-related facilities as part of a monthly demand charge in the peaking rate tariff.  </w:t>
      </w:r>
    </w:p>
    <w:p>
      <w:pPr>
        <w:pStyle w:val="sub2"/>
        <w:rPr/>
      </w:pPr>
      <w:r>
        <w:rPr/>
        <w:t xml:space="preserve">SoCalGas also points out that not all customers currently have a monthly customer charge as a part of their tariff.  In particular, large electric generators and wholesale customers do not have a monthly customer charge, SoCalGas notes.  It is therefore more equitable to adopt a consistent approach of using the annualized customer charge for all peaking service customers.  SoCalGas proposes a monthly customer charge of $800 to $19,000 depending on the customer class.  ORA agrees that SoCalGas should collect the full cost of customer-related facilities as part of a monthly demand charge.  We will adopt the ORA proposal that the customer demand component of the rate should be equivalent to the currently authorized end-use customer rate for the specific customer class (e.g., electric generation, industrial, etc.)  The customer demand component of the rate should be computed monthly based on the higher of either the current monthly usage or the highest monthly usage over the prior 12-month period.  </w:t>
      </w:r>
    </w:p>
    <w:p>
      <w:pPr>
        <w:pStyle w:val="sub2"/>
        <w:rPr/>
      </w:pPr>
      <w:r>
        <w:rPr/>
        <w:t>We adopt ORA’s customer charge proposal.</w:t>
      </w:r>
    </w:p>
    <w:p>
      <w:pPr>
        <w:pStyle w:val="Heading3"/>
        <w:tabs>
          <w:tab w:val="clear" w:pos="720"/>
          <w:tab w:val="left" w:pos="1440" w:leader="none"/>
        </w:tabs>
        <w:ind w:start="1080" w:end="2160"/>
        <w:rPr/>
      </w:pPr>
      <w:r>
        <w:rPr/>
        <w:t>PPP Charge</w:t>
      </w:r>
    </w:p>
    <w:p>
      <w:pPr>
        <w:pStyle w:val="sub2"/>
        <w:rPr/>
      </w:pPr>
      <w:r>
        <w:rPr/>
        <w:t xml:space="preserve">SoCalGas proposes to collect the PPP charge from the partial bypass customer based on the customer’s total natural gas consumption at the facility. </w:t>
      </w:r>
    </w:p>
    <w:p>
      <w:pPr>
        <w:pStyle w:val="sub2"/>
        <w:rPr/>
      </w:pPr>
      <w:r>
        <w:rPr/>
        <w:t xml:space="preserve">Since SoCalGas submitted its testimony, Assembly Bill (AB) 1002 became law.  The CPUC implemented AB 1002 in December 2000.  Under the provisions of AB 1002, customers of interstate pipelines are mandated to pay a volumetric public purpose program surcharge to the Board of Equalization.  The customers of public utility companies are required to pay the surcharge as a separate line item on their bills effective July 1, 2001.  Prior to July 1, 2001, the customers will continue to pay the costs of public purpose programs included in their volumetric transportation rates.  We, therefore, find SoCalGas’ proposal to charge its peaking rate customers a public purpose program surcharge based on their total usage including volumes delivered on interstate pipelines moot. </w:t>
      </w:r>
    </w:p>
    <w:p>
      <w:pPr>
        <w:pStyle w:val="sub2"/>
        <w:rPr/>
      </w:pPr>
      <w:r>
        <w:rPr/>
        <w:t xml:space="preserve">On the bills of its peaking tariff customers, SoCalGas shall show a separate line item public purpose program surcharge to be collected volumetrically in compliance with AB 1002.  The surcharge will be based on the public purpose program surcharge rates adopted by the Commission in Resolution G-3303 and will only apply to the customer’s volumes served by SoCalGas.  The customer will pay the public purpose program on the volumes served by an interstate pipeline to the Board of Equalization. </w:t>
      </w:r>
    </w:p>
    <w:p>
      <w:pPr>
        <w:pStyle w:val="Heading3"/>
        <w:tabs>
          <w:tab w:val="clear" w:pos="720"/>
          <w:tab w:val="left" w:pos="1440" w:leader="none"/>
        </w:tabs>
        <w:ind w:start="1080" w:end="2160"/>
        <w:rPr/>
      </w:pPr>
      <w:r>
        <w:rPr/>
        <w:t>Reservation Charge for Transportation</w:t>
      </w:r>
    </w:p>
    <w:p>
      <w:pPr>
        <w:pStyle w:val="sub2"/>
        <w:rPr/>
      </w:pPr>
      <w:r>
        <w:rPr/>
        <w:t>The coincident peak demand is the peak demand of the customer class at the time of the system peak.  The noncoincident peak demand is the peak demand of the customer class during the year.</w:t>
      </w:r>
      <w:r>
        <w:rPr>
          <w:rStyle w:val="FootnoteCharacters"/>
          <w:rStyle w:val="FootnoteReference"/>
        </w:rPr>
        <w:footnoteReference w:id="10"/>
      </w:r>
      <w:r>
        <w:rPr/>
        <w:t xml:space="preserve">  </w:t>
      </w:r>
    </w:p>
    <w:p>
      <w:pPr>
        <w:pStyle w:val="sub2"/>
        <w:rPr/>
      </w:pPr>
      <w:r>
        <w:rPr/>
        <w:t xml:space="preserve">The philosophy behind a peaking tariff is that it should collect the demand imposed by the customers at the time of the system peak.  For reliability purposes, the gas utility designs its transmission and distribution system to meet the demands placed upon it on an abnormal peak day.  In designing customer class rates, the utility’s costs are allocated to various customer classes based upon marginal cost allocators based on coincident peak demand.  A peaking rate should impose upon the customer who uses the service the extra burden for using the system for peak demand.  Although the customer might use the peaking service to meet its own noncoincident demand, the utility is only concerned about whether it has to build additional capacity to meet the additional demands placed upon it in order to meet the needs of the customers served under the peaking tariff.  To design a tariff based upon the customer class noncoincident demand makes little sense, since the customer class peak demand may not impose any additional demands on the system if it occurs at a time when the system demand is not at its peak. </w:t>
      </w:r>
    </w:p>
    <w:p>
      <w:pPr>
        <w:pStyle w:val="sub2"/>
        <w:rPr/>
      </w:pPr>
      <w:r>
        <w:rPr/>
        <w:t xml:space="preserve">Whether such a tariff might result in prohibitively expensive rates is a question that is difficult to answer at this time.  Clearly, if the coincident peak were to fall in the future, such a result is possible.  We are unable to compare and contrast the results of the ORA proposed methodology with those of SoCalGas because ORA presented no quantitative analysis of its proposal.  The aim of the peaking tariff should be to assess a charge that results in a significant premium over the systemwide default in order to discourage noncore customers from exploiting the utility system at peak times while using interstate pipelines for base load requirements.  If we were to divide the revenue requirement by the average annualized load of the noncore customer class, the premium would be zero.  It is clear therefore that the denominator in the demand charge calculation should be a figure somewhat lower than the average demand of the noncore class.  How much lower the figure should be really depends on the future demand profiles of the electric generators and other noncore customers.  If we were to adopt the ORA proposal and use the noncoincident peak demand of the noncore class in the denominator, it is likely that we will arrive at a rate that is lower than the default rate based on the average demand.  We believe that this is a highly probably scenario, considering that the electric generation demand patterns have changed in the last couple of years, resulting in a spike that is so high that if multiplied by 365 days, the figure could turn out to be higher than the area under the load curve. </w:t>
      </w:r>
    </w:p>
    <w:p>
      <w:pPr>
        <w:pStyle w:val="sub2"/>
        <w:rPr/>
      </w:pPr>
      <w:r>
        <w:rPr/>
        <w:t xml:space="preserve">We, therefore, adopt the SoCalGas method of using the noncore coincident peak demand for the calculation of the demand charge.  Given the current volatile nature of the electric generation market, we will monitor carefully the effectiveness of the cost based peaking rate we adopt today.  We take note of the fact that since the record was submitted in this proceeding, the electric generation market has undergone significant upheaval.  If necessary, we will revise the charge in SoCalGas’ next ratemaking proceeding. </w:t>
      </w:r>
    </w:p>
    <w:p>
      <w:pPr>
        <w:pStyle w:val="Heading3"/>
        <w:tabs>
          <w:tab w:val="clear" w:pos="720"/>
          <w:tab w:val="left" w:pos="1440" w:leader="none"/>
        </w:tabs>
        <w:ind w:start="1080" w:end="2160"/>
        <w:rPr/>
      </w:pPr>
      <w:r>
        <w:rPr/>
        <w:t>ITCS Charge</w:t>
      </w:r>
    </w:p>
    <w:p>
      <w:pPr>
        <w:pStyle w:val="sub2"/>
        <w:rPr/>
      </w:pPr>
      <w:r>
        <w:rPr/>
        <w:t xml:space="preserve">SoCalGas proposes to collect all other non-fuel related costs in the monthly reservation charge.  These other costs include transition cost accounts, such as the ITCS.  </w:t>
      </w:r>
    </w:p>
    <w:p>
      <w:pPr>
        <w:pStyle w:val="sub2"/>
        <w:rPr/>
      </w:pPr>
      <w:r>
        <w:rPr/>
        <w:t>The ITCS is currently collected from all customers as a separate volumetric rate, to be applied to the actual, recorded, monthly throughput.  We will continue this approach, as ORA recommends.</w:t>
      </w:r>
    </w:p>
    <w:p>
      <w:pPr>
        <w:pStyle w:val="sub2"/>
        <w:rPr/>
      </w:pPr>
      <w:r>
        <w:rPr/>
        <w:t xml:space="preserve">We agree with ORA.  Currently, the ITCS is collected from all customers as a volumetric charge, and to make it a part of the demand charge would go against precedent.  </w:t>
      </w:r>
    </w:p>
    <w:p>
      <w:pPr>
        <w:pStyle w:val="Heading3"/>
        <w:tabs>
          <w:tab w:val="clear" w:pos="720"/>
          <w:tab w:val="left" w:pos="1440" w:leader="none"/>
        </w:tabs>
        <w:ind w:start="1080" w:end="2160"/>
        <w:rPr/>
      </w:pPr>
      <w:r>
        <w:rPr/>
        <w:t>Customer Class Versus Systemwide Peaking</w:t>
        <w:br/>
        <w:t xml:space="preserve">     Rate</w:t>
      </w:r>
    </w:p>
    <w:p>
      <w:pPr>
        <w:pStyle w:val="sub2"/>
        <w:rPr/>
      </w:pPr>
      <w:r>
        <w:rPr/>
        <w:t>ORA points out that SoCalGas proposes a systemwide peaking rate instead of a customer class specific peaking rate.  In the absence of a record regarding the load profiles of various customer classes, we find the SoCalGas proposal adequate at this time.</w:t>
      </w:r>
    </w:p>
    <w:p>
      <w:pPr>
        <w:pStyle w:val="Heading3"/>
        <w:tabs>
          <w:tab w:val="clear" w:pos="720"/>
          <w:tab w:val="left" w:pos="1530" w:leader="none"/>
        </w:tabs>
        <w:ind w:start="1170" w:end="2160"/>
        <w:rPr/>
      </w:pPr>
      <w:r>
        <w:rPr/>
        <w:t>Daily Balancing</w:t>
      </w:r>
    </w:p>
    <w:p>
      <w:pPr>
        <w:pStyle w:val="sub2"/>
        <w:rPr/>
      </w:pPr>
      <w:r>
        <w:rPr/>
        <w:t xml:space="preserve">SoCalGas proposes that peaking service customers would be expected to balance their nominations and burns to +/- 5% on a daily basis and +/- 1% on a monthly basis.  The customer would also be expected to maintain uniform hourly deliveries and usage to the extent practical.  If the customer anticipates significant variations in its deliveries or usage during the day, SoCalGas will attempt to accommodate the customer’s expected load profile. In such cases, the customer and SoCalGas will establish a protocol that provides sufficient notification for the utility to meet the customer’s load profile.  As we previously discussed, we prefer daily balancing, because it requires customers to manage their own gas supplies in a manner that does not adversely impact other customers.  Therefore, we will adopt the proposal put forth by SoCalGas. </w:t>
      </w:r>
    </w:p>
    <w:p>
      <w:pPr>
        <w:pStyle w:val="Heading3"/>
        <w:tabs>
          <w:tab w:val="clear" w:pos="720"/>
          <w:tab w:val="left" w:pos="1530" w:leader="none"/>
        </w:tabs>
        <w:ind w:start="1170" w:end="2160"/>
        <w:rPr/>
      </w:pPr>
      <w:r>
        <w:rPr/>
        <w:t>Service Interruption Credit</w:t>
      </w:r>
    </w:p>
    <w:p>
      <w:pPr>
        <w:pStyle w:val="sub2"/>
        <w:rPr/>
      </w:pPr>
      <w:r>
        <w:rPr/>
        <w:t xml:space="preserve">SoCalGas currently offers its GT-F customers a Service Interruption Credit (SIC) as part of Rule 23.  SoCalGas proposes to exempt partial bypass customers from the SIC provision.  ORA agrees that partial bypass customers should not be afforded a SIC.  We agree.  It is self-evident that the utility would lose large amounts of money in the form of rewards for those customers who partially bypass its system.  </w:t>
      </w:r>
    </w:p>
    <w:p>
      <w:pPr>
        <w:pStyle w:val="Heading3"/>
        <w:tabs>
          <w:tab w:val="clear" w:pos="720"/>
          <w:tab w:val="left" w:pos="1530" w:leader="none"/>
        </w:tabs>
        <w:ind w:start="1170" w:end="2160"/>
        <w:rPr/>
      </w:pPr>
      <w:r>
        <w:rPr/>
        <w:t>General Tariff Provisions</w:t>
      </w:r>
    </w:p>
    <w:p>
      <w:pPr>
        <w:pStyle w:val="sub2"/>
        <w:rPr/>
      </w:pPr>
      <w:r>
        <w:rPr/>
        <w:t xml:space="preserve">SoCalGas uses an average system-wide rate for all noncore customers.  SoCalGas proposes that the tariff be updated effective January 1 each year to reflect adjustments to PBR base margin and updates to the noncore balancing accounts.  </w:t>
      </w:r>
    </w:p>
    <w:p>
      <w:pPr>
        <w:pStyle w:val="sub2"/>
        <w:rPr/>
      </w:pPr>
      <w:r>
        <w:rPr/>
        <w:t>Because we have made certain modifications to the SoCalGas proposal such as the inclusion of the ITCS as a separate volumetric charge, we will order SoCalGas to file an advice letter within 10 days of the issuance of this decision in compliance with the modified cost-based tariff we adopt today.</w:t>
      </w:r>
    </w:p>
    <w:p>
      <w:pPr>
        <w:pStyle w:val="Heading3"/>
        <w:tabs>
          <w:tab w:val="clear" w:pos="720"/>
          <w:tab w:val="left" w:pos="1440" w:leader="none"/>
        </w:tabs>
        <w:ind w:start="1080" w:end="2160"/>
        <w:rPr/>
      </w:pPr>
      <w:r>
        <w:rPr/>
        <w:t>Applicability Provisions</w:t>
      </w:r>
    </w:p>
    <w:p>
      <w:pPr>
        <w:pStyle w:val="sub2"/>
        <w:rPr/>
      </w:pPr>
      <w:r>
        <w:rPr/>
        <w:t>Almost all parties except SoCalGas and TURN support the implementation of a peaking tariff on a facility-by-facility basis rather than imposing it on a customer basis, thereby subjecting total loads of generators with multiple facilities to the tariff.  As ORA points out, there is no rationale for such an application.  Under the SoCalGas proposal, if an existing generator develops a new power plant and decides to take service for that power plant from a competing interstate pipeline, then the generator will not be able to take peaking service for that plant from SoCalGas without subjecting all of the plants it owns to the peaking tariff.  This provision is unreasonable and could prove to be so onerous that it might in fact promote bypass of SoCalGas’ system by electric generators.  Certainly, it may discourage development of new generation facilities.</w:t>
      </w:r>
    </w:p>
    <w:p>
      <w:pPr>
        <w:pStyle w:val="sub2"/>
        <w:rPr/>
      </w:pPr>
      <w:r>
        <w:rPr/>
        <w:t xml:space="preserve">The one argument that could be made in favor of a peaking tariff application to multiple generation facilities would be so the generator could shift demand from one facility to another to avoid peaking use all together.  However, it is unlikely that such a shift could be made so that there would be no need for the generator to take peaking service.  After all, generation in California peaks during the summer season.  With the new electric industry structure, generators have an incentive to generate when wholesale electricity prices are high.  Such behavior on the part of the generators has already shifted electric generation load profiles such that their shapes have more spikes than historical load profiles.  We, therefore, conclude that it is not reasonable to allow a multiple generator peaking rate.  </w:t>
      </w:r>
    </w:p>
    <w:p>
      <w:pPr>
        <w:pStyle w:val="sub2"/>
        <w:rPr/>
      </w:pPr>
      <w:r>
        <w:rPr/>
        <w:t>Watson and other parties suggest that new generation facilities should be exempt from a peaking tariff.  We reject this proposal as discriminatory.  There is no precedent for this Commission to set different rates for new customers who might move into a utility’s territory even if they impose additional costs on the utility’s system.  Similarly, we cannot allow a customer to be exempt from a tariff just because the customer is new.</w:t>
      </w:r>
      <w:r>
        <w:br w:type="page"/>
      </w:r>
    </w:p>
    <w:p>
      <w:pPr>
        <w:pStyle w:val="Heading1"/>
        <w:rPr/>
      </w:pPr>
      <w:r>
        <w:rPr>
          <w:rFonts w:eastAsia="Helvetica;Arial"/>
        </w:rPr>
        <w:t xml:space="preserve"> </w:t>
      </w:r>
      <w:r>
        <w:rPr/>
        <w:t>Public Review and Comment</w:t>
      </w:r>
    </w:p>
    <w:p>
      <w:pPr>
        <w:pStyle w:val="standard"/>
        <w:rPr/>
      </w:pPr>
      <w:r>
        <w:rPr/>
        <w:t>The proposed decision of the ALJ in this matter was mailed to the parties in accordance with Pub. Util. Code § 311(d) and Rule 77.1 of the Rules of Practice and Procedure.  Comments were filed on ____________________, and reply comments were filed on ________________.</w:t>
      </w:r>
    </w:p>
    <w:p>
      <w:pPr>
        <w:pStyle w:val="dummy"/>
        <w:rPr/>
      </w:pPr>
      <w:r>
        <w:rPr/>
        <w:t>Findings of Fact</w:t>
      </w:r>
    </w:p>
    <w:p>
      <w:pPr>
        <w:pStyle w:val="num1"/>
        <w:numPr>
          <w:ilvl w:val="0"/>
          <w:numId w:val="6"/>
        </w:numPr>
        <w:rPr/>
      </w:pPr>
      <w:r>
        <w:rPr/>
        <w:t>On June 19, 2000, SoCalGas filed the instant Application, in compliance with D.00-04-060, Ordering Paragraph 6, to establish a peaking rate to replace the RLS tariff.</w:t>
      </w:r>
    </w:p>
    <w:p>
      <w:pPr>
        <w:pStyle w:val="num1"/>
        <w:numPr>
          <w:ilvl w:val="0"/>
          <w:numId w:val="6"/>
        </w:numPr>
        <w:rPr/>
      </w:pPr>
      <w:r>
        <w:rPr/>
        <w:t>A peaking rate is the tariff charged to a noncore customer who uses an interstate pipeline for baseload service, and returns to the SoCalGas system for peakload service.</w:t>
      </w:r>
    </w:p>
    <w:p>
      <w:pPr>
        <w:pStyle w:val="num1"/>
        <w:numPr>
          <w:ilvl w:val="0"/>
          <w:numId w:val="6"/>
        </w:numPr>
        <w:rPr/>
      </w:pPr>
      <w:r>
        <w:rPr/>
        <w:t>A peaking rate should allow SoCalGas to mitigate any revenue loss from a partial pipeline bypass, so that core customers and shareholders do not bear the cost of competition from interstate pipelines, yet not be a deterrent to economic bypass.</w:t>
      </w:r>
    </w:p>
    <w:p>
      <w:pPr>
        <w:pStyle w:val="num1"/>
        <w:numPr>
          <w:ilvl w:val="0"/>
          <w:numId w:val="6"/>
        </w:numPr>
        <w:rPr/>
      </w:pPr>
      <w:r>
        <w:rPr/>
        <w:t>D.00-04-060 stated that the peaking rate should not be the equivalent of the RLS tariff, and should close the regulatory gap between FERC rate structures for interstate pipelines and this Commission’s rate structure for SoCalGas’ system.</w:t>
      </w:r>
    </w:p>
    <w:p>
      <w:pPr>
        <w:pStyle w:val="num1"/>
        <w:numPr>
          <w:ilvl w:val="0"/>
          <w:numId w:val="6"/>
        </w:numPr>
        <w:rPr/>
      </w:pPr>
      <w:r>
        <w:rPr/>
        <w:t>The interstate pipelines are regulated by FERC.</w:t>
      </w:r>
    </w:p>
    <w:p>
      <w:pPr>
        <w:pStyle w:val="num1"/>
        <w:numPr>
          <w:ilvl w:val="0"/>
          <w:numId w:val="6"/>
        </w:numPr>
        <w:rPr/>
      </w:pPr>
      <w:r>
        <w:rPr/>
        <w:t>Under this Commission’s regulations, SoCalGas is obligated to provide service at tariffed rates.</w:t>
      </w:r>
    </w:p>
    <w:p>
      <w:pPr>
        <w:pStyle w:val="num1"/>
        <w:numPr>
          <w:ilvl w:val="0"/>
          <w:numId w:val="6"/>
        </w:numPr>
        <w:rPr/>
      </w:pPr>
      <w:r>
        <w:rPr/>
        <w:t xml:space="preserve">Because of the regulatory gap between the rate structures set by FERC and this Commission, noncore customers had an incentive to bypass the SoCalGas system, leaving the core customers paying the tab for stranded capacity.  </w:t>
      </w:r>
    </w:p>
    <w:p>
      <w:pPr>
        <w:pStyle w:val="num1"/>
        <w:numPr>
          <w:ilvl w:val="0"/>
          <w:numId w:val="6"/>
        </w:numPr>
        <w:rPr/>
      </w:pPr>
      <w:r>
        <w:rPr/>
        <w:t>To correct this gap, the Commission instituted the RLS tariff in D.95</w:t>
        <w:noBreakHyphen/>
        <w:t>07</w:t>
        <w:noBreakHyphen/>
        <w:t>046.  Before establishing this tariff, SoCalGas had been charging an all-volumetric rate structure that did not accurately reflect the utility’s cost to provide peaking service to customers that took partial service from a competing pipeline.</w:t>
      </w:r>
    </w:p>
    <w:p>
      <w:pPr>
        <w:pStyle w:val="num1"/>
        <w:numPr>
          <w:ilvl w:val="0"/>
          <w:numId w:val="6"/>
        </w:numPr>
        <w:rPr/>
      </w:pPr>
      <w:r>
        <w:rPr/>
        <w:t>The RLS tariff, while allowing SoCalGas to mitigate any revenue loss it might suffer due to partial pipeline bypass, effectively discouraged new pipeline competition in SoCalGas’ service territory.</w:t>
      </w:r>
    </w:p>
    <w:p>
      <w:pPr>
        <w:pStyle w:val="num2"/>
        <w:numPr>
          <w:ilvl w:val="0"/>
          <w:numId w:val="6"/>
        </w:numPr>
        <w:rPr/>
      </w:pPr>
      <w:r>
        <w:rPr/>
        <w:t>There is no market, as such, for peaking rates.  There is no other pipeline offering a peaking rate in competition with SoCalGas.</w:t>
      </w:r>
    </w:p>
    <w:p>
      <w:pPr>
        <w:pStyle w:val="num2"/>
        <w:numPr>
          <w:ilvl w:val="0"/>
          <w:numId w:val="6"/>
        </w:numPr>
        <w:rPr/>
      </w:pPr>
      <w:r>
        <w:rPr/>
        <w:t>SoCalGas’ revenue cap has little to do with marginal cost or economic bypass and much to do with keeping the customer cost the same even though the competitive pipeline offers a lower rate and the utility marginal cost is lower.</w:t>
      </w:r>
    </w:p>
    <w:p>
      <w:pPr>
        <w:pStyle w:val="num2"/>
        <w:numPr>
          <w:ilvl w:val="0"/>
          <w:numId w:val="6"/>
        </w:numPr>
        <w:rPr/>
      </w:pPr>
      <w:r>
        <w:rPr/>
        <w:t>It is evident that SoCalGas’ proposed market-based rate would provide customers with an incentive to bypass the SoCalGas system altogether and could, in certain situations, prove to be more punitive than the RLS tariff.</w:t>
      </w:r>
    </w:p>
    <w:p>
      <w:pPr>
        <w:pStyle w:val="num2"/>
        <w:numPr>
          <w:ilvl w:val="0"/>
          <w:numId w:val="6"/>
        </w:numPr>
        <w:rPr/>
      </w:pPr>
      <w:r>
        <w:rPr/>
        <w:t>Daily balancing requires the customer to manage its own gas supply in a manner that does not adversely affect other customers on the system.</w:t>
      </w:r>
    </w:p>
    <w:p>
      <w:pPr>
        <w:pStyle w:val="num2"/>
        <w:numPr>
          <w:ilvl w:val="0"/>
          <w:numId w:val="6"/>
        </w:numPr>
        <w:rPr/>
      </w:pPr>
      <w:r>
        <w:rPr/>
        <w:t>All the interstate pipelines serving SoCalGas’ market have daily balancing requirements, and some even have tighter provisions.</w:t>
      </w:r>
    </w:p>
    <w:p>
      <w:pPr>
        <w:pStyle w:val="num2"/>
        <w:numPr>
          <w:ilvl w:val="0"/>
          <w:numId w:val="6"/>
        </w:numPr>
        <w:rPr/>
      </w:pPr>
      <w:r>
        <w:rPr/>
        <w:t>Under current natural gas market conditions, where the price of gas is very high, more relaxed balancing provisions might encourage the peaking customers to use SoCalGas’ balancing as a price arbitrage tool which would impose additional burdens on captive customers.</w:t>
      </w:r>
    </w:p>
    <w:p>
      <w:pPr>
        <w:pStyle w:val="num2"/>
        <w:numPr>
          <w:ilvl w:val="0"/>
          <w:numId w:val="6"/>
        </w:numPr>
        <w:rPr/>
      </w:pPr>
      <w:r>
        <w:rPr/>
        <w:t>The customer charge is designed to collect the total cost of the customer-related facilities through a monthly demand charge.</w:t>
      </w:r>
    </w:p>
    <w:p>
      <w:pPr>
        <w:pStyle w:val="num2"/>
        <w:numPr>
          <w:ilvl w:val="0"/>
          <w:numId w:val="6"/>
        </w:numPr>
        <w:rPr/>
      </w:pPr>
      <w:r>
        <w:rPr/>
        <w:t xml:space="preserve">The customer demand component of the rate should be equivalent to the currently authorized end-use customer rate for the specific customer class (e.g., electric generation, industrial, etc.)  </w:t>
      </w:r>
    </w:p>
    <w:p>
      <w:pPr>
        <w:pStyle w:val="num2"/>
        <w:numPr>
          <w:ilvl w:val="0"/>
          <w:numId w:val="6"/>
        </w:numPr>
        <w:rPr/>
      </w:pPr>
      <w:r>
        <w:rPr/>
        <w:t>The customer demand component of the rate should be computed monthly based on the higher of either the current monthly usage or the highest monthly usage over the prior 12-month period.</w:t>
      </w:r>
    </w:p>
    <w:p>
      <w:pPr>
        <w:pStyle w:val="num2"/>
        <w:numPr>
          <w:ilvl w:val="0"/>
          <w:numId w:val="6"/>
        </w:numPr>
        <w:rPr/>
      </w:pPr>
      <w:r>
        <w:rPr/>
        <w:t>The customers of public utility companies are required to pay the surcharge as a separate line item on their bills effective July 1, 2001.  Prior to July 1, 2001, the customers will continue to pay the costs of public purpose programs included in their volumetric transportation rates.</w:t>
      </w:r>
    </w:p>
    <w:p>
      <w:pPr>
        <w:pStyle w:val="num2"/>
        <w:numPr>
          <w:ilvl w:val="0"/>
          <w:numId w:val="6"/>
        </w:numPr>
        <w:rPr/>
      </w:pPr>
      <w:r>
        <w:rPr/>
        <w:t>The philosophy behind a peaking tariff is that it should collect the demand imposed by the customers at the time of the system peak.</w:t>
      </w:r>
    </w:p>
    <w:p>
      <w:pPr>
        <w:pStyle w:val="num2"/>
        <w:numPr>
          <w:ilvl w:val="0"/>
          <w:numId w:val="6"/>
        </w:numPr>
        <w:rPr/>
      </w:pPr>
      <w:r>
        <w:rPr/>
        <w:t xml:space="preserve">For reliability purposes, the gas utility designs its transmission and distribution system to meet the demands placed upon it on an abnormal peak day.  </w:t>
      </w:r>
    </w:p>
    <w:p>
      <w:pPr>
        <w:pStyle w:val="num2"/>
        <w:numPr>
          <w:ilvl w:val="0"/>
          <w:numId w:val="6"/>
        </w:numPr>
        <w:rPr/>
      </w:pPr>
      <w:r>
        <w:rPr/>
        <w:t>In designing customer class rates, the utility’s costs are allocated to various customer classes based upon marginal cost allocators based on coincident peak demand.</w:t>
      </w:r>
    </w:p>
    <w:p>
      <w:pPr>
        <w:pStyle w:val="num2"/>
        <w:numPr>
          <w:ilvl w:val="0"/>
          <w:numId w:val="6"/>
        </w:numPr>
        <w:rPr/>
      </w:pPr>
      <w:r>
        <w:rPr/>
        <w:t>A peaking rate should impose upon the customer who uses the service the extra burden for using the system for peak demand.</w:t>
      </w:r>
    </w:p>
    <w:p>
      <w:pPr>
        <w:pStyle w:val="num2"/>
        <w:numPr>
          <w:ilvl w:val="0"/>
          <w:numId w:val="6"/>
        </w:numPr>
        <w:rPr/>
      </w:pPr>
      <w:r>
        <w:rPr/>
        <w:t xml:space="preserve">To design a tariff based upon the customer class noncoincident demand makes little sense, since the customer class peak demand may not impose any additional demands on the system if it occurs at a time when the system demand is not at its peak. </w:t>
      </w:r>
    </w:p>
    <w:p>
      <w:pPr>
        <w:pStyle w:val="num2"/>
        <w:numPr>
          <w:ilvl w:val="0"/>
          <w:numId w:val="6"/>
        </w:numPr>
        <w:rPr/>
      </w:pPr>
      <w:r>
        <w:rPr/>
        <w:t>The aim of the peaking tariff should be to assess a charge that results in a significant premium over the systemwide default in order to discourage noncore customers from exploiting the utility system at peak times while using interstate pipelines for base load requirements.</w:t>
      </w:r>
    </w:p>
    <w:p>
      <w:pPr>
        <w:pStyle w:val="num2"/>
        <w:numPr>
          <w:ilvl w:val="0"/>
          <w:numId w:val="6"/>
        </w:numPr>
        <w:rPr/>
      </w:pPr>
      <w:r>
        <w:rPr/>
        <w:t>If we were to use the noncoincident peak demand of the noncore class in the denominator, it is likely that we will arrive at a rate that is lower than the default rate based on the average demand.  Such an outcome could prove to be so onerous that it might in fact promote bypass of SoCalGas’ system by electric generators and could discourage development of new generation facilities.</w:t>
      </w:r>
    </w:p>
    <w:p>
      <w:pPr>
        <w:pStyle w:val="dummy"/>
        <w:rPr/>
      </w:pPr>
      <w:r>
        <w:rPr/>
        <w:t>Conclusions of Law</w:t>
      </w:r>
    </w:p>
    <w:p>
      <w:pPr>
        <w:pStyle w:val="num1"/>
        <w:numPr>
          <w:ilvl w:val="0"/>
          <w:numId w:val="3"/>
        </w:numPr>
        <w:rPr/>
      </w:pPr>
      <w:r>
        <w:rPr/>
        <w:t>It is reasonable to establish a cost-based peaking rate, as described herein, that encourages economic bypass, and discourages uneconomic bypass, of the SoCalGas’ transmission and distribution system.</w:t>
      </w:r>
    </w:p>
    <w:p>
      <w:pPr>
        <w:pStyle w:val="num1"/>
        <w:numPr>
          <w:ilvl w:val="0"/>
          <w:numId w:val="3"/>
        </w:numPr>
        <w:rPr/>
      </w:pPr>
      <w:r>
        <w:rPr/>
        <w:t>There is no competitive market for peaking rates, so a market-based rate is not supported by sound economic theory.</w:t>
      </w:r>
    </w:p>
    <w:p>
      <w:pPr>
        <w:pStyle w:val="num1"/>
        <w:numPr>
          <w:ilvl w:val="0"/>
          <w:numId w:val="3"/>
        </w:numPr>
        <w:rPr/>
      </w:pPr>
      <w:r>
        <w:rPr/>
        <w:t>The cost-based rate is consistent with Commission precedent and history and is grounded in sound economic theory.</w:t>
      </w:r>
    </w:p>
    <w:p>
      <w:pPr>
        <w:pStyle w:val="num1"/>
        <w:numPr>
          <w:ilvl w:val="0"/>
          <w:numId w:val="3"/>
        </w:numPr>
        <w:rPr/>
      </w:pPr>
      <w:r>
        <w:rPr/>
        <w:t>This order should be effective today to allow the new tariff to be implemented expeditiously.</w:t>
      </w:r>
    </w:p>
    <w:p>
      <w:pPr>
        <w:pStyle w:val="num1"/>
        <w:numPr>
          <w:ilvl w:val="0"/>
          <w:numId w:val="3"/>
        </w:numPr>
        <w:rPr/>
      </w:pPr>
      <w:r>
        <w:rPr/>
        <w:t>We find that cost-based pricing mechanism proposed by SoCalGas, with the modifications suggested by ORA, are consistent with our policy of promoting economic bypass.</w:t>
      </w:r>
    </w:p>
    <w:p>
      <w:pPr>
        <w:pStyle w:val="num1"/>
        <w:numPr>
          <w:ilvl w:val="0"/>
          <w:numId w:val="3"/>
        </w:numPr>
        <w:rPr/>
      </w:pPr>
      <w:r>
        <w:rPr/>
        <w:t xml:space="preserve">Under the provisions of AB 1002, customers of interstate pipelines are mandated to pay a volumetric public purpose program surcharge to the Board of Equalization. </w:t>
      </w:r>
    </w:p>
    <w:p>
      <w:pPr>
        <w:pStyle w:val="num1"/>
        <w:numPr>
          <w:ilvl w:val="0"/>
          <w:numId w:val="3"/>
        </w:numPr>
        <w:rPr/>
      </w:pPr>
      <w:r>
        <w:rPr/>
        <w:t>The surcharge will be based on the public purpose program surcharge rates adopted by the Commission in Resolution G-3303 and will only apply to the customer’s volumes served by SoCalGas.</w:t>
      </w:r>
    </w:p>
    <w:p>
      <w:pPr>
        <w:pStyle w:val="num1"/>
        <w:numPr>
          <w:ilvl w:val="0"/>
          <w:numId w:val="3"/>
        </w:numPr>
        <w:rPr/>
      </w:pPr>
      <w:r>
        <w:rPr/>
        <w:t xml:space="preserve">The customer will pay the public purpose program charges on the volumes served by an interstate pipeline to the Board of Equalization. </w:t>
      </w:r>
    </w:p>
    <w:p>
      <w:pPr>
        <w:pStyle w:val="Normal"/>
        <w:spacing w:lineRule="auto" w:line="360"/>
        <w:rPr/>
      </w:pPr>
      <w:r>
        <w:rPr/>
      </w:r>
    </w:p>
    <w:p>
      <w:pPr>
        <w:pStyle w:val="mainex"/>
        <w:rPr/>
      </w:pPr>
      <w:r>
        <w:rPr/>
        <w:t>ORDER</w:t>
      </w:r>
    </w:p>
    <w:p>
      <w:pPr>
        <w:pStyle w:val="Normal"/>
        <w:keepNext w:val="true"/>
        <w:rPr/>
      </w:pPr>
      <w:r>
        <w:rPr/>
      </w:r>
    </w:p>
    <w:p>
      <w:pPr>
        <w:pStyle w:val="standard"/>
        <w:keepNext w:val="true"/>
        <w:rPr/>
      </w:pPr>
      <w:r>
        <w:rPr>
          <w:b/>
        </w:rPr>
        <w:t>IT IS ORDERED</w:t>
      </w:r>
      <w:r>
        <w:rPr/>
        <w:t xml:space="preserve"> that:</w:t>
      </w:r>
    </w:p>
    <w:p>
      <w:pPr>
        <w:pStyle w:val="num1"/>
        <w:numPr>
          <w:ilvl w:val="0"/>
          <w:numId w:val="8"/>
        </w:numPr>
        <w:rPr/>
      </w:pPr>
      <w:r>
        <w:rPr/>
        <w:t>The cost-based peaking rate set forth herein is adopted.</w:t>
      </w:r>
    </w:p>
    <w:p>
      <w:pPr>
        <w:pStyle w:val="num1"/>
        <w:numPr>
          <w:ilvl w:val="0"/>
          <w:numId w:val="8"/>
        </w:numPr>
        <w:rPr/>
      </w:pPr>
      <w:r>
        <w:rPr/>
        <w:t>Within 10 days of the issuance of this order, Southern California Gas Company (SoCalGas) shall submit an Advice Letter to the Energy Division, requesting a cost-based peaking rate that is in conformity with this order.</w:t>
      </w:r>
    </w:p>
    <w:p>
      <w:pPr>
        <w:pStyle w:val="num2"/>
        <w:numPr>
          <w:ilvl w:val="0"/>
          <w:numId w:val="7"/>
        </w:numPr>
        <w:ind w:firstLine="360" w:start="0" w:end="0"/>
        <w:rPr/>
      </w:pPr>
      <w:r>
        <w:rPr/>
        <w:t>The cost-based peaking tariff shall include the following components:  a customer charge computed monthly based on the higher of either the current monthly usage or the highest monthly usage over the prior 12-month period; a Public Purpose Program (PPP) charge based on the PPP rates adopted by the Commission in Resolution G</w:t>
        <w:noBreakHyphen/>
        <w:t>3303; a reservation charge for transportation using the noncore coincident peak demand for the calculation of the demand charge; and an Interstate Transition Cost Surcharge (ITCS) charge collected as a separate volumetric rate, to be applied to the actual, recorded, monthly throughput.</w:t>
      </w:r>
    </w:p>
    <w:p>
      <w:pPr>
        <w:pStyle w:val="num2"/>
        <w:numPr>
          <w:ilvl w:val="0"/>
          <w:numId w:val="5"/>
        </w:numPr>
        <w:ind w:firstLine="360" w:start="0" w:end="0"/>
        <w:rPr/>
      </w:pPr>
      <w:r>
        <w:rPr/>
        <w:t>The peaking tariff shall:  (a) be a systemwide rate; (b) customers shall balance their nominations and burns daily; (c) partial bypass customers shall not be eligible for SIC credit; and (d) the tariff shall apply on a facility-by-facility basis.</w:t>
      </w:r>
      <w:r>
        <w:br w:type="page"/>
      </w:r>
    </w:p>
    <w:p>
      <w:pPr>
        <w:pStyle w:val="num1"/>
        <w:numPr>
          <w:ilvl w:val="0"/>
          <w:numId w:val="4"/>
        </w:numPr>
        <w:ind w:firstLine="360" w:start="0" w:end="0"/>
        <w:rPr/>
      </w:pPr>
      <w:r>
        <w:rPr/>
        <w:t>The cost-based peaking tariff shall be subject to review in the next SoCalGas Biannual Cost Allocation Proceeding.</w:t>
      </w:r>
    </w:p>
    <w:p>
      <w:pPr>
        <w:pStyle w:val="num1"/>
        <w:numPr>
          <w:ilvl w:val="0"/>
          <w:numId w:val="4"/>
        </w:numPr>
        <w:ind w:firstLine="360" w:start="0" w:end="0"/>
        <w:rPr/>
      </w:pPr>
      <w:r>
        <w:rPr/>
        <w:t>This proceeding is closed.</w:t>
      </w:r>
    </w:p>
    <w:p>
      <w:pPr>
        <w:pStyle w:val="standard"/>
        <w:rPr/>
      </w:pPr>
      <w:r>
        <w:rPr/>
        <w:t>This order is effective today.</w:t>
      </w:r>
    </w:p>
    <w:p>
      <w:pPr>
        <w:sectPr>
          <w:headerReference w:type="default" r:id="rId2"/>
          <w:headerReference w:type="first" r:id="rId3"/>
          <w:footerReference w:type="default" r:id="rId4"/>
          <w:footerReference w:type="first" r:id="rId5"/>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pStyle w:val="standard"/>
        <w:rPr/>
      </w:pPr>
      <w:r>
        <w:rPr/>
        <w:t xml:space="preserve">Dated </w:t>
      </w:r>
      <w:r>
        <w:rPr>
          <w:u w:val="single"/>
        </w:rPr>
        <w:tab/>
        <w:tab/>
        <w:tab/>
        <w:tab/>
        <w:tab/>
      </w:r>
      <w:r>
        <w:rPr/>
        <w:t xml:space="preserve">, at San Francisco, California. </w:t>
      </w:r>
    </w:p>
    <w:p>
      <w:pPr>
        <w:pStyle w:val="standard"/>
        <w:spacing w:lineRule="auto" w:line="240"/>
        <w:ind w:hanging="0" w:end="0"/>
        <w:jc w:val="center"/>
        <w:rPr>
          <w:b/>
        </w:rPr>
      </w:pPr>
      <w:r>
        <w:rPr>
          <w:b/>
        </w:rPr>
        <w:t>APPENDIX A</w:t>
      </w:r>
    </w:p>
    <w:p>
      <w:pPr>
        <w:pStyle w:val="standard"/>
        <w:spacing w:lineRule="auto" w:line="240"/>
        <w:ind w:hanging="0" w:end="0"/>
        <w:jc w:val="center"/>
        <w:rPr>
          <w:b/>
        </w:rPr>
      </w:pPr>
      <w:r>
        <w:rPr>
          <w:b/>
        </w:rPr>
        <w:t>Page 1</w:t>
      </w:r>
    </w:p>
    <w:p>
      <w:pPr>
        <w:pStyle w:val="standard"/>
        <w:spacing w:lineRule="auto" w:line="240"/>
        <w:jc w:val="center"/>
        <w:rPr>
          <w:b/>
        </w:rPr>
      </w:pPr>
      <w:r>
        <w:rPr>
          <w:b/>
        </w:rPr>
      </w:r>
    </w:p>
    <w:p>
      <w:pPr>
        <w:pStyle w:val="standard"/>
        <w:ind w:hanging="0" w:end="0"/>
        <w:jc w:val="center"/>
        <w:rPr>
          <w:b/>
        </w:rPr>
      </w:pPr>
      <w:r>
        <w:rPr>
          <w:b/>
        </w:rPr>
        <w:t>List of Appearances</w:t>
      </w:r>
    </w:p>
    <w:p>
      <w:pPr>
        <w:pStyle w:val="quote"/>
        <w:ind w:hanging="360" w:start="360" w:end="1260"/>
        <w:rPr/>
      </w:pPr>
      <w:r>
        <w:rPr/>
        <w:t xml:space="preserve">Interested Parties:  Alcantar &amp; Elsesser, LLP, by </w:t>
      </w:r>
      <w:r>
        <w:rPr>
          <w:u w:val="single"/>
        </w:rPr>
        <w:t>Michael Alcantar</w:t>
      </w:r>
      <w:r>
        <w:rPr/>
        <w:t xml:space="preserve">, Attorney at Law, for Cogeneration Association of California; </w:t>
      </w:r>
      <w:r>
        <w:rPr>
          <w:u w:val="single"/>
        </w:rPr>
        <w:t>Tom Beach</w:t>
      </w:r>
      <w:r>
        <w:rPr/>
        <w:t xml:space="preserve">, Crossborder Energy, for PG&amp;E National Energy Group; </w:t>
      </w:r>
      <w:r>
        <w:rPr>
          <w:u w:val="single"/>
        </w:rPr>
        <w:t>Kirby Bosley</w:t>
      </w:r>
      <w:r>
        <w:rPr/>
        <w:t xml:space="preserve"> and Michael Briggs, for Reliant Energy; Matthew V. Brady &amp; Associates, by </w:t>
      </w:r>
      <w:r>
        <w:rPr>
          <w:u w:val="single"/>
        </w:rPr>
        <w:t>Matthew V. Brady</w:t>
      </w:r>
      <w:r>
        <w:rPr/>
        <w:t xml:space="preserve">, Attorney at Law, for the Department of General Services; </w:t>
      </w:r>
      <w:r>
        <w:rPr>
          <w:u w:val="single"/>
        </w:rPr>
        <w:t>Sharon Cohen</w:t>
      </w:r>
      <w:r>
        <w:rPr/>
        <w:t xml:space="preserve">, Sempra Energy, for Gasoducto Rosarito; Goodin, MacBride, Squeri, Ritchie &amp; Day, by </w:t>
      </w:r>
      <w:r>
        <w:rPr>
          <w:u w:val="single"/>
        </w:rPr>
        <w:t>Brian T. Cragg</w:t>
      </w:r>
      <w:r>
        <w:rPr/>
        <w:t xml:space="preserve">, for Cabrillo I, LLC and Cabrillo II, LLC; </w:t>
      </w:r>
      <w:r>
        <w:rPr>
          <w:u w:val="single"/>
        </w:rPr>
        <w:t>Terry Dutton</w:t>
      </w:r>
      <w:r>
        <w:rPr/>
        <w:t xml:space="preserve">, County of San Diego, for San Diego County Air Pollution Control District; Alcantar &amp; Elsesser, LLP, by </w:t>
      </w:r>
      <w:r>
        <w:rPr>
          <w:u w:val="single"/>
        </w:rPr>
        <w:t>Evelyn Kahl Elsesser</w:t>
      </w:r>
      <w:r>
        <w:rPr/>
        <w:t xml:space="preserve">, Attorney at Law, for Chevron USA, Amoco Energy Trading, Burlington Resources, Texaco &amp; Aera Energy; Energy Law Group, LLP, by </w:t>
      </w:r>
      <w:r>
        <w:rPr>
          <w:u w:val="single"/>
        </w:rPr>
        <w:t>Diane I. Fellman</w:t>
      </w:r>
      <w:r>
        <w:rPr/>
        <w:t xml:space="preserve">, Attorney at Law, for NRG Energy, Inc.; </w:t>
      </w:r>
      <w:r>
        <w:rPr>
          <w:u w:val="single"/>
        </w:rPr>
        <w:t>Alex Goldberg</w:t>
      </w:r>
      <w:r>
        <w:rPr/>
        <w:t xml:space="preserve">, for Williams Companies, Inc.; </w:t>
      </w:r>
      <w:r>
        <w:rPr>
          <w:u w:val="single"/>
        </w:rPr>
        <w:t>Patrick L. Gileau</w:t>
      </w:r>
      <w:r>
        <w:rPr/>
        <w:t xml:space="preserve">, Attorney at Law, for CPUC Office of Ratepayer Advocates; Morrison &amp; Foerster, LLP, by </w:t>
      </w:r>
      <w:r>
        <w:rPr>
          <w:u w:val="single"/>
        </w:rPr>
        <w:t>Peter W. Hanschen</w:t>
      </w:r>
      <w:r>
        <w:rPr/>
        <w:t xml:space="preserve">, Attorney at Law, for PG&amp;E National Energy Group; </w:t>
      </w:r>
      <w:r>
        <w:rPr>
          <w:u w:val="single"/>
        </w:rPr>
        <w:t>Marcel Hawiger</w:t>
      </w:r>
      <w:r>
        <w:rPr/>
        <w:t xml:space="preserve">, Attorney at Law, for The Utility Reform Network; </w:t>
      </w:r>
      <w:r>
        <w:rPr>
          <w:u w:val="single"/>
        </w:rPr>
        <w:t>Bruno Jeider</w:t>
      </w:r>
      <w:r>
        <w:rPr/>
        <w:t xml:space="preserve">, for the City of Burbank; White &amp; Case, LLP, by </w:t>
      </w:r>
      <w:r>
        <w:rPr>
          <w:u w:val="single"/>
        </w:rPr>
        <w:t>Joseph M. Karp</w:t>
      </w:r>
      <w:r>
        <w:rPr/>
        <w:t xml:space="preserve">, Attorney at Law, for California Cogenerators Council; Ellison, Schneider &amp; Harris, by </w:t>
      </w:r>
      <w:r>
        <w:rPr>
          <w:u w:val="single"/>
        </w:rPr>
        <w:t>Douglas K. Kerner</w:t>
      </w:r>
      <w:r>
        <w:rPr/>
        <w:t xml:space="preserve">, Attorney at Law, for Duke Energy North American; </w:t>
      </w:r>
      <w:r>
        <w:rPr>
          <w:u w:val="single"/>
        </w:rPr>
        <w:t>Eric Klinkner</w:t>
      </w:r>
      <w:r>
        <w:rPr/>
        <w:t xml:space="preserve">, for the City of Pasadena; Luce, Forward, Hamilton &amp; Scripps, LLP; by </w:t>
      </w:r>
      <w:r>
        <w:rPr>
          <w:u w:val="single"/>
        </w:rPr>
        <w:t>John W. Leslie</w:t>
      </w:r>
      <w:r>
        <w:rPr/>
        <w:t xml:space="preserve">, Attorney at Law, for Coral Energy Resources; </w:t>
      </w:r>
      <w:r>
        <w:rPr>
          <w:u w:val="single"/>
        </w:rPr>
        <w:t>Steven G. Lins</w:t>
      </w:r>
      <w:r>
        <w:rPr/>
        <w:t xml:space="preserve">, for the City of Glendale; Sutherland, Asbill &amp; Brennan, LLC, by </w:t>
      </w:r>
      <w:r>
        <w:rPr>
          <w:u w:val="single"/>
        </w:rPr>
        <w:t>Keith McCrea</w:t>
      </w:r>
      <w:r>
        <w:rPr/>
        <w:t xml:space="preserve">, Attorney at Law, for California Manufacturers &amp; Technology Association and California Industrial Group; </w:t>
      </w:r>
      <w:r>
        <w:rPr>
          <w:u w:val="single"/>
        </w:rPr>
        <w:t>Sara Steck Myers</w:t>
      </w:r>
      <w:r>
        <w:rPr/>
        <w:t xml:space="preserve">, Attorney at Law, for the City of San Diego; </w:t>
      </w:r>
      <w:r>
        <w:rPr>
          <w:u w:val="single"/>
        </w:rPr>
        <w:t>Ronald G. Oechsler</w:t>
      </w:r>
      <w:r>
        <w:rPr/>
        <w:t xml:space="preserve">, for Navigant Consulting Inc.; </w:t>
      </w:r>
      <w:r>
        <w:rPr>
          <w:u w:val="single"/>
        </w:rPr>
        <w:t>Frederick M. Ortlieb</w:t>
      </w:r>
      <w:r>
        <w:rPr/>
        <w:t xml:space="preserve">, Deputy City Attorney, for the City of San Diego; Jones, Day, Reavis &amp; Pogue, by </w:t>
      </w:r>
      <w:r>
        <w:rPr>
          <w:u w:val="single"/>
        </w:rPr>
        <w:t>Norman A. Pedersen</w:t>
      </w:r>
      <w:r>
        <w:rPr/>
        <w:t xml:space="preserve">, Attorney at Law, for Southern California Generation </w:t>
      </w:r>
      <w:r>
        <w:br w:type="page"/>
      </w:r>
    </w:p>
    <w:p>
      <w:pPr>
        <w:pStyle w:val="standard"/>
        <w:spacing w:lineRule="auto" w:line="240"/>
        <w:ind w:hanging="0" w:end="0"/>
        <w:jc w:val="center"/>
        <w:rPr>
          <w:b/>
        </w:rPr>
      </w:pPr>
      <w:r>
        <w:rPr>
          <w:b/>
        </w:rPr>
        <w:t>APPENDIX A</w:t>
      </w:r>
    </w:p>
    <w:p>
      <w:pPr>
        <w:pStyle w:val="standard"/>
        <w:spacing w:lineRule="auto" w:line="240"/>
        <w:ind w:hanging="0" w:end="0"/>
        <w:jc w:val="center"/>
        <w:rPr>
          <w:b/>
        </w:rPr>
      </w:pPr>
      <w:r>
        <w:rPr>
          <w:b/>
        </w:rPr>
        <w:t>Page 2</w:t>
      </w:r>
    </w:p>
    <w:p>
      <w:pPr>
        <w:pStyle w:val="standard"/>
        <w:rPr>
          <w:b/>
        </w:rPr>
      </w:pPr>
      <w:r>
        <w:rPr>
          <w:b/>
        </w:rPr>
      </w:r>
    </w:p>
    <w:p>
      <w:pPr>
        <w:pStyle w:val="quote"/>
        <w:ind w:start="360" w:end="1260"/>
        <w:rPr/>
      </w:pPr>
      <w:r>
        <w:rPr/>
        <w:t xml:space="preserve">Coalition; </w:t>
      </w:r>
      <w:r>
        <w:rPr>
          <w:u w:val="single"/>
        </w:rPr>
        <w:t>Roger T. Pelote</w:t>
      </w:r>
      <w:r>
        <w:rPr/>
        <w:t xml:space="preserve">, for Williams Energy Services; </w:t>
      </w:r>
      <w:r>
        <w:rPr>
          <w:u w:val="single"/>
        </w:rPr>
        <w:t>Robert L. Pettinato</w:t>
      </w:r>
      <w:r>
        <w:rPr/>
        <w:t xml:space="preserve">, for the Los Angeles Department of Water and Power; </w:t>
      </w:r>
      <w:r>
        <w:rPr>
          <w:u w:val="single"/>
        </w:rPr>
        <w:t>Patrick J. Power</w:t>
      </w:r>
      <w:r>
        <w:rPr/>
        <w:t xml:space="preserve">, Attorney at Law, for the City of Long Beach; </w:t>
      </w:r>
      <w:r>
        <w:rPr>
          <w:u w:val="single"/>
        </w:rPr>
        <w:t>Michael Shames</w:t>
      </w:r>
      <w:r>
        <w:rPr/>
        <w:t xml:space="preserve">, Attorney at Law, for Utility Consumers’ Action Network; </w:t>
      </w:r>
      <w:r>
        <w:rPr>
          <w:u w:val="single"/>
        </w:rPr>
        <w:t>John Steffen</w:t>
      </w:r>
      <w:r>
        <w:rPr/>
        <w:t xml:space="preserve">, for the Imperial Irrigation District; and </w:t>
      </w:r>
      <w:r>
        <w:rPr>
          <w:u w:val="single"/>
        </w:rPr>
        <w:t>Catherine E. Yap</w:t>
      </w:r>
      <w:r>
        <w:rPr/>
        <w:t>, for Barkovich &amp; Yap, Inc.</w:t>
      </w:r>
    </w:p>
    <w:p>
      <w:pPr>
        <w:pStyle w:val="quote"/>
        <w:ind w:hanging="360" w:start="360" w:end="1260"/>
        <w:rPr/>
      </w:pPr>
      <w:r>
        <w:rPr/>
        <w:t xml:space="preserve">Intervenors:  </w:t>
      </w:r>
      <w:r>
        <w:rPr>
          <w:u w:val="single"/>
        </w:rPr>
        <w:t>Craig Chancellor</w:t>
      </w:r>
      <w:r>
        <w:rPr/>
        <w:t xml:space="preserve">, Davis, Wright, Tremaine, LLP, by </w:t>
      </w:r>
      <w:r>
        <w:rPr>
          <w:u w:val="single"/>
        </w:rPr>
        <w:t>Lindsay How-Downing</w:t>
      </w:r>
      <w:r>
        <w:rPr/>
        <w:t xml:space="preserve">, Attorney at Law, for Calpine Corporation; Davis, Wright, Tremaine, LLP, by </w:t>
      </w:r>
      <w:r>
        <w:rPr>
          <w:u w:val="single"/>
        </w:rPr>
        <w:t>Edward W. O’Neill</w:t>
      </w:r>
      <w:r>
        <w:rPr/>
        <w:t xml:space="preserve">, Attorney at Law, for El Paso Natural Gas Company; and </w:t>
      </w:r>
      <w:r>
        <w:rPr>
          <w:u w:val="single"/>
        </w:rPr>
        <w:t>Michael R. Thorp</w:t>
      </w:r>
      <w:r>
        <w:rPr/>
        <w:t>, Sempra Energy, for San Diego Gas &amp; Electric Company and Southern California Gas Company.</w:t>
      </w:r>
    </w:p>
    <w:p>
      <w:pPr>
        <w:pStyle w:val="quote"/>
        <w:ind w:hanging="360" w:start="360" w:end="1260"/>
        <w:rPr/>
      </w:pPr>
      <w:r>
        <w:rPr/>
        <w:t xml:space="preserve">State Service:  </w:t>
      </w:r>
      <w:r>
        <w:rPr>
          <w:u w:val="single"/>
        </w:rPr>
        <w:t>Joyce Alfton</w:t>
      </w:r>
      <w:r>
        <w:rPr/>
        <w:t xml:space="preserve"> and </w:t>
      </w:r>
      <w:r>
        <w:rPr>
          <w:u w:val="single"/>
        </w:rPr>
        <w:t>Richard A. Myers</w:t>
      </w:r>
      <w:r>
        <w:rPr/>
        <w:t xml:space="preserve">, for the Energy Division; </w:t>
      </w:r>
      <w:r>
        <w:rPr>
          <w:u w:val="single"/>
        </w:rPr>
        <w:t>Jacqueline Greig</w:t>
      </w:r>
      <w:r>
        <w:rPr/>
        <w:t xml:space="preserve"> and </w:t>
      </w:r>
      <w:r>
        <w:rPr>
          <w:u w:val="single"/>
        </w:rPr>
        <w:t>Robert M. Pocta</w:t>
      </w:r>
      <w:r>
        <w:rPr/>
        <w:t xml:space="preserve">, for The Office of Ratepayer Advocates; and </w:t>
      </w:r>
      <w:r>
        <w:rPr>
          <w:u w:val="single"/>
        </w:rPr>
        <w:t>Scott Tomashefsky</w:t>
      </w:r>
      <w:r>
        <w:rPr/>
        <w:t xml:space="preserve"> and </w:t>
      </w:r>
      <w:r>
        <w:rPr>
          <w:u w:val="single"/>
        </w:rPr>
        <w:t>Bill Wood</w:t>
      </w:r>
      <w:r>
        <w:rPr/>
        <w:t>, for the California Energy Commission.</w:t>
      </w:r>
    </w:p>
    <w:p>
      <w:pPr>
        <w:pStyle w:val="quote"/>
        <w:ind w:hanging="360" w:start="360" w:end="1260"/>
        <w:rPr>
          <w:rFonts w:eastAsia="PALATINO;Book Antiqua"/>
        </w:rPr>
      </w:pPr>
      <w:r>
        <w:rPr>
          <w:rFonts w:eastAsia="PALATINO;Book Antiqua"/>
        </w:rPr>
        <w:t xml:space="preserve"> </w:t>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rPr/>
      </w:pPr>
      <w:r>
        <w:rPr/>
      </w:r>
    </w:p>
    <w:p>
      <w:pPr>
        <w:pStyle w:val="standard"/>
        <w:ind w:hanging="0" w:end="0"/>
        <w:jc w:val="center"/>
        <w:rPr>
          <w:b/>
        </w:rPr>
      </w:pPr>
      <w:r>
        <w:rPr>
          <w:b/>
        </w:rPr>
        <w:t>(END OF APPENDIX A)</w:t>
      </w:r>
    </w:p>
    <w:p>
      <w:pPr>
        <w:pStyle w:val="standard"/>
        <w:rPr>
          <w:b/>
        </w:rPr>
      </w:pPr>
      <w:r>
        <w:rPr>
          <w:b/>
        </w:rPr>
      </w:r>
    </w:p>
    <w:sectPr>
      <w:headerReference w:type="default" r:id="rId6"/>
      <w:headerReference w:type="first" r:id="rId7"/>
      <w:footerReference w:type="default" r:id="rId8"/>
      <w:footerReference w:type="first" r:id="rId9"/>
      <w:footnotePr>
        <w:numFmt w:val="decimal"/>
      </w:footnotePr>
      <w:type w:val="nextPage"/>
      <w:pgSz w:w="12240" w:h="15840"/>
      <w:pgMar w:left="1440" w:right="1440" w:gutter="0" w:header="720" w:top="1152"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pPr>
    <w:r>
      <w:rPr>
        <w:sz w:val="16"/>
      </w:rPr>
      <w:t>96743</w:t>
      <w:tab/>
    </w:r>
    <w:r>
      <w:rPr>
        <w:sz w:val="24"/>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rPr/>
      </w:pPr>
      <w:r>
        <w:rPr>
          <w:rStyle w:val="FootnoteCharacters"/>
        </w:rPr>
        <w:footnoteRef/>
      </w:r>
      <w:r>
        <w:rPr/>
        <w:t xml:space="preserve">  </w:t>
      </w:r>
      <w:r>
        <w:rPr/>
        <w:t xml:space="preserve">FERC issued Order 436 in 1986 which provided for an open-access gas transportation program.  The open-access rules promoted market-based competition by allowing local distribution companies (LDCs) and end-users to buy gas directly from producers, marketers, and brokers, instead of from the interstate pipeline companies that previously filled this function. </w:t>
      </w:r>
    </w:p>
  </w:footnote>
  <w:footnote w:id="3">
    <w:p>
      <w:pPr>
        <w:pStyle w:val="FootnoteText"/>
        <w:spacing w:before="0" w:after="240"/>
        <w:rPr/>
      </w:pPr>
      <w:r>
        <w:rPr>
          <w:rStyle w:val="FootnoteCharacters"/>
        </w:rPr>
        <w:footnoteRef/>
      </w:r>
      <w:r>
        <w:rPr/>
        <w:t xml:space="preserve">  </w:t>
      </w:r>
      <w:r>
        <w:rPr/>
        <w:t>Core customers are those who lack alternatives to natural gas service.  Most core customers are residential and small commercial customers.</w:t>
      </w:r>
    </w:p>
  </w:footnote>
  <w:footnote w:id="4">
    <w:p>
      <w:pPr>
        <w:pStyle w:val="FootnoteText"/>
        <w:spacing w:before="0" w:after="240"/>
        <w:rPr/>
      </w:pPr>
      <w:r>
        <w:rPr>
          <w:rStyle w:val="FootnoteCharacters"/>
        </w:rPr>
        <w:footnoteRef/>
      </w:r>
      <w:r>
        <w:rPr/>
        <w:t xml:space="preserve">  </w:t>
      </w:r>
      <w:r>
        <w:rPr/>
        <w:t xml:space="preserve">Noncore customers are relatively large customers who are capable of switching from natural gas supplied by a utility’s natural gas system to alternative fuels such as oil and propane.  Noncore customers typically are large commercial, industrial, cogeneration, wholesale, and utility electric generation customers. </w:t>
      </w:r>
    </w:p>
  </w:footnote>
  <w:footnote w:id="5">
    <w:p>
      <w:pPr>
        <w:pStyle w:val="FootnoteText"/>
        <w:spacing w:before="0" w:after="240"/>
        <w:rPr/>
      </w:pPr>
      <w:r>
        <w:rPr>
          <w:rStyle w:val="FootnoteCharacters"/>
        </w:rPr>
        <w:footnoteRef/>
      </w:r>
      <w:r>
        <w:rPr/>
        <w:t xml:space="preserve">  </w:t>
      </w:r>
      <w:r>
        <w:rPr/>
        <w:t>Not all of the protesting parties agree with SoCalGas’ revenue approximations, but there is a consensus that uneconomic bypass will shift significant costs to the core customer.</w:t>
      </w:r>
    </w:p>
  </w:footnote>
  <w:footnote w:id="6">
    <w:p>
      <w:pPr>
        <w:pStyle w:val="FootnoteText"/>
        <w:spacing w:before="0" w:after="240"/>
        <w:rPr/>
      </w:pPr>
      <w:r>
        <w:rPr>
          <w:rStyle w:val="FootnoteCharacters"/>
        </w:rPr>
        <w:footnoteRef/>
      </w:r>
      <w:r>
        <w:rPr/>
        <w:t xml:space="preserve">  </w:t>
      </w:r>
      <w:r>
        <w:rPr/>
        <w:t xml:space="preserve">ORA  proposes that this rate be adjusted for daily balancing and exclude customer costs and ITSC.  </w:t>
      </w:r>
    </w:p>
  </w:footnote>
  <w:footnote w:id="7">
    <w:p>
      <w:pPr>
        <w:pStyle w:val="FootnoteText"/>
        <w:spacing w:before="0" w:after="240"/>
        <w:rPr/>
      </w:pPr>
      <w:r>
        <w:rPr>
          <w:rStyle w:val="FootnoteCharacters"/>
        </w:rPr>
        <w:footnoteRef/>
      </w:r>
      <w:r>
        <w:rPr/>
        <w:t xml:space="preserve">  </w:t>
      </w:r>
      <w:r>
        <w:rPr/>
        <w:t xml:space="preserve">The charge would be based on the higher of either the current monthly usage or the highest monthly usage over the prior 12-month period.  </w:t>
      </w:r>
    </w:p>
  </w:footnote>
  <w:footnote w:id="8">
    <w:p>
      <w:pPr>
        <w:pStyle w:val="FootnoteText"/>
        <w:spacing w:before="0" w:after="240"/>
        <w:rPr/>
      </w:pPr>
      <w:r>
        <w:rPr>
          <w:rStyle w:val="FootnoteCharacters"/>
        </w:rPr>
        <w:footnoteRef/>
      </w:r>
      <w:r>
        <w:rPr/>
        <w:t xml:space="preserve">  </w:t>
      </w:r>
      <w:r>
        <w:rPr/>
        <w:t>While Watson characterizes its tariff proposal as “cost-based,” it contains many attributes of the market-based rate that the interstate pipelines have in their rates, so the Commission views Watson’s proposed rate as a hybrid market/cost-based tariff.</w:t>
      </w:r>
    </w:p>
  </w:footnote>
  <w:footnote w:id="9">
    <w:p>
      <w:pPr>
        <w:pStyle w:val="FootnoteText"/>
        <w:spacing w:before="0" w:after="240"/>
        <w:rPr/>
      </w:pPr>
      <w:r>
        <w:rPr>
          <w:rStyle w:val="FootnoteCharacters"/>
        </w:rPr>
        <w:footnoteRef/>
      </w:r>
      <w:r>
        <w:rPr/>
        <w:t xml:space="preserve">  </w:t>
      </w:r>
      <w:r>
        <w:rPr/>
        <w:t xml:space="preserve">Cost-based rates may be embedded or marginal cost. </w:t>
      </w:r>
    </w:p>
  </w:footnote>
  <w:footnote w:id="10">
    <w:p>
      <w:pPr>
        <w:pStyle w:val="FootnoteText"/>
        <w:spacing w:before="0" w:after="240"/>
        <w:rPr/>
      </w:pPr>
      <w:r>
        <w:rPr>
          <w:rStyle w:val="FootnoteCharacters"/>
        </w:rPr>
        <w:footnoteRef/>
      </w:r>
      <w:r>
        <w:rPr/>
        <w:t xml:space="preserve">  </w:t>
      </w:r>
      <w:r>
        <w:rPr/>
        <w:t>SoCalGas’ proposal requires a capacity reservation based on a customer-specific peak day requirement, which is non-coincident.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A.00-06-032  ALJ/CAB/sid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A.00-06-032  ALJ/CAB/sid</w:t>
      <w:tab/>
      <w:tab/>
    </w:r>
    <w:r>
      <w:rPr>
        <w:rFonts w:cs="Helvetica;Arial" w:ascii="Helvetica;Arial" w:hAnsi="Helvetica;Arial"/>
        <w:b/>
        <w:sz w:val="36"/>
      </w:rPr>
      <w:t>DRAFT</w:t>
    </w:r>
  </w:p>
  <w:p>
    <w:pPr>
      <w:pStyle w:val="Header"/>
      <w:rPr>
        <w:rFonts w:ascii="Helvetica;Arial" w:hAnsi="Helvetica;Arial" w:cs="Helvetica;Arial"/>
        <w:b/>
        <w:sz w:val="36"/>
      </w:rPr>
    </w:pPr>
    <w:r>
      <w:rPr>
        <w:rFonts w:cs="Helvetica;Arial" w:ascii="Helvetica;Arial" w:hAnsi="Helvetica;Arial"/>
        <w:b/>
        <w:sz w:val="36"/>
      </w:rPr>
    </w:r>
  </w:p>
  <w:p>
    <w:pPr>
      <w:pStyle w:val="Header"/>
      <w:rPr>
        <w:rFonts w:ascii="Helvetica;Arial" w:hAnsi="Helvetica;Arial" w:cs="Helvetica;Arial"/>
      </w:rPr>
    </w:pPr>
    <w:r>
      <w:rPr>
        <w:rFonts w:cs="Helvetica;Arial" w:ascii="Helvetica;Arial" w:hAnsi="Helvetica;Arial"/>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A.00-06-032  ALJ/CAB/sid</w:t>
      <w:tab/>
      <w:tab/>
    </w:r>
    <w:r>
      <w:rPr>
        <w:b/>
        <w:sz w:val="32"/>
      </w:rPr>
      <w:t>DRAFT</w:t>
    </w:r>
  </w:p>
  <w:p>
    <w:pPr>
      <w:pStyle w:val="Header"/>
      <w:rPr>
        <w:b/>
        <w:sz w:val="32"/>
      </w:rPr>
    </w:pPr>
    <w:r>
      <w:rPr>
        <w:b/>
        <w:sz w:val="32"/>
      </w:rPr>
    </w:r>
  </w:p>
  <w:p>
    <w:pPr>
      <w:pStyle w:val="Header"/>
      <w:rPr>
        <w:b/>
        <w:sz w:val="32"/>
      </w:rPr>
    </w:pPr>
    <w:r>
      <w:rPr>
        <w:b/>
        <w:sz w:val="3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rPr>
        <w:i w:val="false"/>
        <w:b/>
      </w:r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lowerLetter"/>
      <w:lvlText w:val="%1."/>
      <w:lvlJc w:val="start"/>
      <w:pPr>
        <w:tabs>
          <w:tab w:val="num" w:pos="360"/>
        </w:tabs>
        <w:ind w:start="0" w:hanging="0"/>
      </w:pPr>
      <w:rPr>
        <w:sz w:val="26"/>
        <w:rFonts w:ascii="PALATINO;Book Antiqua" w:hAnsi="PALATINO;Book Antiqua" w:cs="PALATINO;Book Antiqua"/>
      </w:rPr>
    </w:lvl>
  </w:abstractNum>
  <w:abstractNum w:abstractNumId="3">
    <w:lvl w:ilvl="0">
      <w:start w:val="1"/>
      <w:numFmt w:val="decimal"/>
      <w:lvlText w:val="%1."/>
      <w:lvlJc w:val="start"/>
      <w:pPr>
        <w:tabs>
          <w:tab w:val="num" w:pos="0"/>
        </w:tabs>
        <w:ind w:start="0" w:hanging="0"/>
      </w:pPr>
    </w:lvl>
  </w:abstractNum>
  <w:abstractNum w:abstractNumId="4">
    <w:lvl w:ilvl="0">
      <w:start w:val="5"/>
      <w:numFmt w:val="decimal"/>
      <w:lvlText w:val="%1."/>
      <w:lvlJc w:val="start"/>
      <w:pPr>
        <w:tabs>
          <w:tab w:val="num" w:pos="720"/>
        </w:tabs>
        <w:ind w:start="0" w:hanging="0"/>
      </w:pPr>
    </w:lvl>
  </w:abstractNum>
  <w:abstractNum w:abstractNumId="5">
    <w:lvl w:ilvl="0">
      <w:start w:val="4"/>
      <w:numFmt w:val="decimal"/>
      <w:lvlText w:val="%1."/>
      <w:lvlJc w:val="start"/>
      <w:pPr>
        <w:tabs>
          <w:tab w:val="num" w:pos="720"/>
        </w:tabs>
        <w:ind w:start="0" w:hanging="0"/>
      </w:pPr>
    </w:lvl>
  </w:abstractNum>
  <w:abstractNum w:abstractNumId="6">
    <w:lvl w:ilvl="0">
      <w:start w:val="1"/>
      <w:numFmt w:val="decimal"/>
      <w:lvlText w:val="%1."/>
      <w:lvlJc w:val="start"/>
      <w:pPr>
        <w:tabs>
          <w:tab w:val="num" w:pos="0"/>
        </w:tabs>
        <w:ind w:start="0" w:hanging="0"/>
      </w:pPr>
    </w:lvl>
  </w:abstractNum>
  <w:abstractNum w:abstractNumId="7">
    <w:lvl w:ilvl="0">
      <w:start w:val="3"/>
      <w:numFmt w:val="decimal"/>
      <w:lvlText w:val="%1."/>
      <w:lvlJc w:val="start"/>
      <w:pPr>
        <w:tabs>
          <w:tab w:val="num" w:pos="720"/>
        </w:tabs>
        <w:ind w:start="0" w:hanging="0"/>
      </w:pPr>
    </w:lvl>
  </w:abstractNum>
  <w:abstractNum w:abstractNumId="8">
    <w:lvl w:ilvl="0">
      <w:start w:val="1"/>
      <w:numFmt w:val="decimal"/>
      <w:lvlText w:val="%1."/>
      <w:lvlJc w:val="start"/>
      <w:pPr>
        <w:tabs>
          <w:tab w:val="num" w:pos="0"/>
        </w:tabs>
        <w:ind w:start="0" w:hanging="0"/>
      </w:pPr>
    </w:lvl>
  </w:abstractNum>
  <w:abstractNum w:abstractNumId="9">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5"/>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tabs>
        <w:tab w:val="clear" w:pos="720"/>
        <w:tab w:val="left" w:pos="360" w:leader="none"/>
      </w:tabs>
      <w:spacing w:before="120" w:after="120"/>
      <w:ind w:hanging="0" w:start="0" w:end="360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hanging="0" w:start="0" w:end="2880"/>
      <w:outlineLvl w:val="1"/>
    </w:pPr>
    <w:rPr>
      <w:rFonts w:ascii="Helvetica;Arial" w:hAnsi="Helvetica;Arial" w:cs="Helvetica;Arial"/>
      <w:b/>
    </w:rPr>
  </w:style>
  <w:style w:type="paragraph" w:styleId="Heading3">
    <w:name w:val="heading 3"/>
    <w:basedOn w:val="Normal"/>
    <w:next w:val="sub2"/>
    <w:qFormat/>
    <w:pPr>
      <w:keepNext w:val="true"/>
      <w:numPr>
        <w:ilvl w:val="2"/>
        <w:numId w:val="1"/>
      </w:numPr>
      <w:spacing w:before="120" w:after="120"/>
      <w:ind w:hanging="0" w:start="0" w:end="216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120"/>
      <w:ind w:hanging="0" w:start="0" w:end="2160"/>
      <w:outlineLvl w:val="3"/>
    </w:pPr>
    <w:rPr>
      <w:rFonts w:ascii="Helvetica;Arial" w:hAnsi="Helvetica;Arial" w:cs="Helvetica;Arial"/>
      <w:b/>
    </w:rPr>
  </w:style>
  <w:style w:type="paragraph" w:styleId="Heading5">
    <w:name w:val="heading 5"/>
    <w:basedOn w:val="Normal"/>
    <w:next w:val="sub4"/>
    <w:qFormat/>
    <w:pPr>
      <w:numPr>
        <w:ilvl w:val="4"/>
        <w:numId w:val="1"/>
      </w:numPr>
      <w:spacing w:before="120" w:after="120"/>
      <w:ind w:hanging="0" w:start="0" w:end="1440"/>
      <w:outlineLvl w:val="4"/>
    </w:pPr>
    <w:rPr>
      <w:rFonts w:ascii="Helvetica;Arial" w:hAnsi="Helvetica;Arial" w:cs="Helvetica;Arial"/>
      <w:b/>
    </w:rPr>
  </w:style>
  <w:style w:type="paragraph" w:styleId="Heading6">
    <w:name w:val="heading 6"/>
    <w:basedOn w:val="Normal"/>
    <w:next w:val="sub5"/>
    <w:qFormat/>
    <w:pPr>
      <w:numPr>
        <w:ilvl w:val="5"/>
        <w:numId w:val="1"/>
      </w:numPr>
      <w:spacing w:before="120" w:after="120"/>
      <w:ind w:hanging="0" w:start="0" w:end="1440"/>
      <w:outlineLvl w:val="5"/>
    </w:pPr>
    <w:rPr>
      <w:rFonts w:ascii="Helvetica;Arial" w:hAnsi="Helvetica;Arial" w:cs="Helvetica;Arial"/>
      <w:b/>
      <w:sz w:val="24"/>
    </w:rPr>
  </w:style>
  <w:style w:type="paragraph" w:styleId="Heading7">
    <w:name w:val="heading 7"/>
    <w:basedOn w:val="Normal"/>
    <w:next w:val="sub6"/>
    <w:qFormat/>
    <w:pPr>
      <w:numPr>
        <w:ilvl w:val="6"/>
        <w:numId w:val="1"/>
      </w:numPr>
      <w:spacing w:before="120" w:after="120"/>
      <w:ind w:hanging="0" w:start="0" w:end="1440"/>
      <w:outlineLvl w:val="6"/>
    </w:pPr>
    <w:rPr>
      <w:rFonts w:ascii="Helvetica;Arial" w:hAnsi="Helvetica;Arial" w:cs="Helvetica;Arial"/>
      <w:b/>
      <w:i/>
      <w:sz w:val="22"/>
    </w:rPr>
  </w:style>
  <w:style w:type="paragraph" w:styleId="Heading8">
    <w:name w:val="heading 8"/>
    <w:basedOn w:val="Normal"/>
    <w:next w:val="sub7"/>
    <w:qFormat/>
    <w:pPr>
      <w:numPr>
        <w:ilvl w:val="7"/>
        <w:numId w:val="1"/>
      </w:numPr>
      <w:spacing w:before="120" w:after="120"/>
      <w:ind w:hanging="0" w:start="0" w:end="1440"/>
      <w:outlineLvl w:val="7"/>
    </w:pPr>
    <w:rPr>
      <w:rFonts w:ascii="Helvetica;Arial" w:hAnsi="Helvetica;Arial" w:cs="Helvetica;Arial"/>
      <w:b/>
      <w:i/>
      <w:sz w:val="20"/>
    </w:rPr>
  </w:style>
  <w:style w:type="paragraph" w:styleId="Heading9">
    <w:name w:val="heading 9"/>
    <w:basedOn w:val="Normal"/>
    <w:next w:val="sub8"/>
    <w:qFormat/>
    <w:pPr>
      <w:numPr>
        <w:ilvl w:val="8"/>
        <w:numId w:val="1"/>
      </w:numPr>
      <w:tabs>
        <w:tab w:val="clear" w:pos="720"/>
        <w:tab w:val="left" w:pos="3780" w:leader="none"/>
      </w:tabs>
      <w:spacing w:before="120" w:after="120"/>
      <w:ind w:hanging="0" w:start="0" w:end="1440"/>
      <w:outlineLvl w:val="8"/>
    </w:pPr>
    <w:rPr>
      <w:rFonts w:ascii="Arial" w:hAnsi="Arial" w:cs="Arial"/>
      <w:b/>
      <w:i/>
      <w:sz w:val="18"/>
    </w:rPr>
  </w:style>
  <w:style w:type="character" w:styleId="WW8Num1z0">
    <w:name w:val="WW8Num1z0"/>
    <w:qFormat/>
    <w:rPr>
      <w:rFonts w:ascii="PALATINO;Book Antiqua" w:hAnsi="PALATINO;Book Antiqua" w:cs="PALATINO;Book Antiqua"/>
      <w:sz w:val="26"/>
    </w:rPr>
  </w:style>
  <w:style w:type="character" w:styleId="WW8Num7z1">
    <w:name w:val="WW8Num7z1"/>
    <w:qFormat/>
    <w:rPr>
      <w:b/>
      <w:i w:val="false"/>
    </w:rPr>
  </w:style>
  <w:style w:type="character" w:styleId="WW8Num8z0">
    <w:name w:val="WW8Num8z0"/>
    <w:qFormat/>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Times New Roman" w:hAnsi="Times New Roman" w:cs="Times New Roman"/>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1260"/>
    </w:pPr>
    <w:rPr/>
  </w:style>
  <w:style w:type="paragraph" w:styleId="num1">
    <w:name w:val="num1"/>
    <w:basedOn w:val="Normal"/>
    <w:qFormat/>
    <w:pPr>
      <w:numPr>
        <w:ilvl w:val="0"/>
        <w:numId w:val="9"/>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2"/>
      </w:numPr>
      <w:spacing w:lineRule="auto" w:line="240" w:before="0" w:after="120"/>
      <w:ind w:hanging="360" w:start="1080" w:end="1260"/>
    </w:pPr>
    <w:rPr/>
  </w:style>
  <w:style w:type="paragraph" w:styleId="TOC4">
    <w:name w:val="toc 4"/>
    <w:basedOn w:val="Normal"/>
    <w:next w:val="Normal"/>
    <w:pPr>
      <w:tabs>
        <w:tab w:val="clear" w:pos="720"/>
        <w:tab w:val="left" w:pos="1440" w:leader="none"/>
        <w:tab w:val="right" w:pos="9360" w:leader="dot"/>
      </w:tabs>
      <w:ind w:hanging="360" w:start="1440" w:end="0"/>
    </w:pPr>
    <w:rPr>
      <w:lang w:val="en-CA"/>
    </w:rPr>
  </w:style>
  <w:style w:type="paragraph" w:styleId="main">
    <w:name w:val="main"/>
    <w:basedOn w:val="Normal"/>
    <w:qFormat/>
    <w:pPr>
      <w:jc w:val="center"/>
    </w:pPr>
    <w:rPr>
      <w:rFonts w:ascii="Helvetica;Arial" w:hAnsi="Helvetica;Arial" w:cs="Helvetica;Arial"/>
      <w:b/>
    </w:rPr>
  </w:style>
  <w:style w:type="paragraph" w:styleId="mainex">
    <w:name w:val="mainex"/>
    <w:basedOn w:val="main"/>
    <w:qFormat/>
    <w:pPr>
      <w:keepNext w:val="true"/>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9360" w:leader="none"/>
      </w:tabs>
    </w:pPr>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tyle>
  <w:style w:type="paragraph" w:styleId="sub1">
    <w:name w:val="sub1"/>
    <w:basedOn w:val="Normal"/>
    <w:qFormat/>
    <w:pPr>
      <w:spacing w:lineRule="auto" w:line="360"/>
      <w:ind w:firstLine="1080" w:start="0" w:end="0"/>
    </w:pPr>
    <w:rPr/>
  </w:style>
  <w:style w:type="paragraph" w:styleId="titlebar">
    <w:name w:val="title bar"/>
    <w:basedOn w:val="main"/>
    <w:qFormat/>
    <w:pPr>
      <w:keepNext w:val="true"/>
      <w:suppressAutoHyphens w:val="true"/>
    </w:pPr>
    <w:rPr/>
  </w:style>
  <w:style w:type="paragraph" w:styleId="sub2">
    <w:name w:val="sub2"/>
    <w:basedOn w:val="Normal"/>
    <w:qFormat/>
    <w:pPr>
      <w:spacing w:lineRule="auto" w:line="360"/>
      <w:ind w:firstLine="1440" w:start="0" w:end="0"/>
    </w:pPr>
    <w:rPr/>
  </w:style>
  <w:style w:type="paragraph" w:styleId="sub3">
    <w:name w:val="sub3"/>
    <w:basedOn w:val="Normal"/>
    <w:qFormat/>
    <w:pPr>
      <w:spacing w:lineRule="auto" w:line="360"/>
      <w:ind w:firstLine="1800" w:start="0" w:end="0"/>
    </w:pPr>
    <w:rPr/>
  </w:style>
  <w:style w:type="paragraph" w:styleId="sub4">
    <w:name w:val="sub4"/>
    <w:basedOn w:val="Normal"/>
    <w:qFormat/>
    <w:pPr>
      <w:spacing w:lineRule="auto" w:line="360"/>
      <w:ind w:firstLine="2250" w:start="0" w:end="0"/>
    </w:pPr>
    <w:rPr/>
  </w:style>
  <w:style w:type="paragraph" w:styleId="dummy">
    <w:name w:val="dummy"/>
    <w:basedOn w:val="Heading1"/>
    <w:qFormat/>
    <w:pPr>
      <w:numPr>
        <w:ilvl w:val="0"/>
        <w:numId w:val="0"/>
      </w:numPr>
      <w:ind w:hanging="0" w:start="0" w:end="0"/>
      <w:outlineLvl w:val="9"/>
    </w:pPr>
    <w:rPr/>
  </w:style>
  <w:style w:type="paragraph" w:styleId="TOC1">
    <w:name w:val="toc 1"/>
    <w:basedOn w:val="Normal"/>
    <w:next w:val="Normal"/>
    <w:pPr>
      <w:tabs>
        <w:tab w:val="clear" w:pos="720"/>
        <w:tab w:val="right" w:pos="9360" w:leader="none"/>
      </w:tabs>
    </w:pPr>
    <w:rPr>
      <w:b/>
    </w:rPr>
  </w:style>
  <w:style w:type="paragraph" w:styleId="sub5">
    <w:name w:val="sub5"/>
    <w:basedOn w:val="sub4"/>
    <w:qFormat/>
    <w:pPr>
      <w:ind w:firstLine="2707" w:start="0" w:end="0"/>
    </w:pPr>
    <w:rPr/>
  </w:style>
  <w:style w:type="paragraph" w:styleId="sub6">
    <w:name w:val="sub6"/>
    <w:basedOn w:val="sub4"/>
    <w:qFormat/>
    <w:pPr>
      <w:ind w:firstLine="3060" w:start="0" w:end="0"/>
    </w:pPr>
    <w:rPr/>
  </w:style>
  <w:style w:type="paragraph" w:styleId="sub7">
    <w:name w:val="sub7"/>
    <w:basedOn w:val="sub4"/>
    <w:qFormat/>
    <w:pPr>
      <w:ind w:firstLine="3427" w:start="0" w:end="0"/>
    </w:pPr>
    <w:rPr/>
  </w:style>
  <w:style w:type="paragraph" w:styleId="Quote1">
    <w:name w:val="Quote1"/>
    <w:basedOn w:val="quote"/>
    <w:next w:val="sub1"/>
    <w:qFormat/>
    <w:pPr>
      <w:ind w:hanging="0" w:start="1080" w:end="1260"/>
    </w:pPr>
    <w:rPr/>
  </w:style>
  <w:style w:type="paragraph" w:styleId="Quote3">
    <w:name w:val="Quote3"/>
    <w:basedOn w:val="quote"/>
    <w:next w:val="sub3"/>
    <w:qFormat/>
    <w:pPr>
      <w:ind w:hanging="0" w:start="1800" w:end="1080"/>
    </w:pPr>
    <w:rPr/>
  </w:style>
  <w:style w:type="paragraph" w:styleId="Quote4">
    <w:name w:val="Quote4"/>
    <w:basedOn w:val="quote"/>
    <w:next w:val="sub4"/>
    <w:qFormat/>
    <w:pPr>
      <w:ind w:hanging="0" w:start="2250" w:end="1080"/>
    </w:pPr>
    <w:rPr/>
  </w:style>
  <w:style w:type="paragraph" w:styleId="TOC2">
    <w:name w:val="toc 2"/>
    <w:basedOn w:val="Normal"/>
    <w:next w:val="Normal"/>
    <w:pPr>
      <w:tabs>
        <w:tab w:val="left" w:pos="720" w:leader="none"/>
        <w:tab w:val="right" w:pos="9350" w:leader="dot"/>
      </w:tabs>
      <w:ind w:hanging="720" w:start="720" w:end="0"/>
    </w:pPr>
    <w:rPr>
      <w:lang w:val="en-CA"/>
    </w:rPr>
  </w:style>
  <w:style w:type="paragraph" w:styleId="TOC3">
    <w:name w:val="toc 3"/>
    <w:basedOn w:val="Normal"/>
    <w:next w:val="Normal"/>
    <w:pPr>
      <w:tabs>
        <w:tab w:val="clear" w:pos="720"/>
        <w:tab w:val="left" w:pos="1080" w:leader="none"/>
        <w:tab w:val="right" w:pos="9350" w:leader="dot"/>
      </w:tabs>
      <w:ind w:hanging="360" w:start="1080" w:end="0"/>
    </w:pPr>
    <w:rPr>
      <w:lang w:val="en-CA"/>
    </w:rPr>
  </w:style>
  <w:style w:type="paragraph" w:styleId="TOC5">
    <w:name w:val="toc 5"/>
    <w:basedOn w:val="Normal"/>
    <w:next w:val="Normal"/>
    <w:pPr>
      <w:tabs>
        <w:tab w:val="clear" w:pos="720"/>
        <w:tab w:val="left" w:pos="1800" w:leader="none"/>
        <w:tab w:val="right" w:pos="9350" w:leader="dot"/>
      </w:tabs>
      <w:ind w:hanging="360" w:start="1800" w:end="0"/>
    </w:pPr>
    <w:rPr>
      <w:lang w:val="en-CA"/>
    </w:rPr>
  </w:style>
  <w:style w:type="paragraph" w:styleId="TOC6">
    <w:name w:val="toc 6"/>
    <w:basedOn w:val="Normal"/>
    <w:next w:val="Normal"/>
    <w:pPr>
      <w:tabs>
        <w:tab w:val="clear" w:pos="720"/>
        <w:tab w:val="left" w:pos="2250" w:leader="none"/>
        <w:tab w:val="right" w:pos="9350" w:leader="dot"/>
      </w:tabs>
      <w:ind w:hanging="450" w:start="2250" w:end="0"/>
    </w:pPr>
    <w:rPr>
      <w:lang w:val="en-CA"/>
    </w:rPr>
  </w:style>
  <w:style w:type="paragraph" w:styleId="TOC7">
    <w:name w:val="toc 7"/>
    <w:basedOn w:val="Normal"/>
    <w:next w:val="Normal"/>
    <w:pPr>
      <w:tabs>
        <w:tab w:val="clear" w:pos="720"/>
        <w:tab w:val="left" w:pos="2700" w:leader="none"/>
        <w:tab w:val="right" w:pos="9350" w:leader="dot"/>
      </w:tabs>
      <w:ind w:hanging="450" w:start="2700" w:end="0"/>
    </w:pPr>
    <w:rPr>
      <w:lang w:val="en-CA"/>
    </w:rPr>
  </w:style>
  <w:style w:type="paragraph" w:styleId="TOC8">
    <w:name w:val="toc 8"/>
    <w:basedOn w:val="Normal"/>
    <w:next w:val="Normal"/>
    <w:pPr>
      <w:tabs>
        <w:tab w:val="clear" w:pos="720"/>
        <w:tab w:val="left" w:pos="3150" w:leader="none"/>
        <w:tab w:val="right" w:pos="9350" w:leader="dot"/>
      </w:tabs>
      <w:ind w:hanging="450" w:start="3150" w:end="0"/>
    </w:pPr>
    <w:rPr>
      <w:lang w:val="en-CA"/>
    </w:rPr>
  </w:style>
  <w:style w:type="paragraph" w:styleId="TOC9">
    <w:name w:val="toc 9"/>
    <w:basedOn w:val="Normal"/>
    <w:next w:val="Normal"/>
    <w:pPr>
      <w:tabs>
        <w:tab w:val="clear" w:pos="720"/>
        <w:tab w:val="left" w:pos="3600" w:leader="none"/>
        <w:tab w:val="right" w:pos="9350" w:leader="dot"/>
      </w:tabs>
      <w:ind w:hanging="450" w:start="3600" w:end="0"/>
    </w:pPr>
    <w:rPr>
      <w:lang w:val="en-CA"/>
    </w:rPr>
  </w:style>
  <w:style w:type="paragraph" w:styleId="sub8">
    <w:name w:val="sub8"/>
    <w:basedOn w:val="sub7"/>
    <w:qFormat/>
    <w:pPr>
      <w:ind w:firstLine="3787" w:start="0" w:end="0"/>
    </w:pPr>
    <w:rPr/>
  </w:style>
  <w:style w:type="paragraph" w:styleId="Quote2">
    <w:name w:val="Quote2"/>
    <w:basedOn w:val="quote"/>
    <w:qFormat/>
    <w:pPr>
      <w:ind w:hanging="0" w:start="1440" w:end="126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Decision-I 7-24-00.dot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2001-08-03T15:47:00Z</dcterms:created>
  <dc:creator>Fannie Sid</dc:creator>
  <dc:description/>
  <dc:language>en-CA</dc:language>
  <cp:lastModifiedBy>Valued Gateway 2000 Customer</cp:lastModifiedBy>
  <cp:lastPrinted>2001-05-29T11:30:00Z</cp:lastPrinted>
  <dcterms:modified xsi:type="dcterms:W3CDTF">2001-08-03T15:47:00Z</dcterms:modified>
  <cp:revision>2</cp:revision>
  <dc:subject/>
  <dc:title>Decision 			</dc:title>
</cp:coreProperties>
</file>