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rPr/>
      </w:pPr>
      <w:r>
        <w:rPr/>
        <w:t>Energy Trading – Day one</w:t>
      </w:r>
    </w:p>
    <w:p>
      <w:pPr>
        <w:pStyle w:val="Heading2"/>
        <w:numPr>
          <w:ilvl w:val="0"/>
          <w:numId w:val="3"/>
        </w:numPr>
        <w:spacing w:before="120" w:after="240"/>
        <w:rPr/>
      </w:pPr>
      <w:r>
        <w:rPr/>
        <w:t>Scope</w:t>
      </w:r>
    </w:p>
    <w:p>
      <w:pPr>
        <w:pStyle w:val="normindent"/>
        <w:rPr/>
      </w:pPr>
      <w:r>
        <w:rPr/>
        <w:t>This policy applies to all energy trading conducted by UBS Warburg Energy LLC ("UBSWE") on behalf of UBS AG, London Branch, or UBS Warburg Energy (Canada) Ltd.  This policy is an interim one to establish an appropriate Risk Control framework for Day One trading.  The existing UBS Warburg Credit and Market risk polices will be adapted as required to incorporate energy trading and will supersede this policy.</w:t>
      </w:r>
    </w:p>
    <w:p>
      <w:pPr>
        <w:pStyle w:val="normindent"/>
        <w:rPr/>
      </w:pPr>
      <w:r>
        <w:rPr/>
        <w:t>Energy trading is defined as any transaction involving natural gas, coal, oil (crude and heating), or power, either physically or financially settled.  These types of transactions may be secured or unsecured.</w:t>
      </w:r>
    </w:p>
    <w:p>
      <w:pPr>
        <w:pStyle w:val="normindent"/>
        <w:numPr>
          <w:ilvl w:val="0"/>
          <w:numId w:val="0"/>
        </w:numPr>
        <w:ind w:hanging="0" w:start="360" w:end="0"/>
        <w:rPr/>
      </w:pPr>
      <w:r>
        <w:rPr>
          <w:b/>
        </w:rPr>
        <w:t>Any violation of this policy constitutes a serious disciplinary offence.</w:t>
      </w:r>
      <w:r>
        <w:rPr>
          <w:rStyle w:val="EndnoteCharacters"/>
          <w:rStyle w:val="EndnoteReference"/>
          <w:b/>
        </w:rPr>
        <w:endnoteReference w:id="2"/>
      </w:r>
      <w:r>
        <w:rPr>
          <w:b/>
        </w:rPr>
        <w:t xml:space="preserve"> </w:t>
      </w:r>
      <w:r>
        <w:rPr>
          <w:b/>
          <w:caps/>
        </w:rPr>
        <w:t xml:space="preserve"> </w:t>
      </w:r>
    </w:p>
    <w:p>
      <w:pPr>
        <w:pStyle w:val="Heading2"/>
        <w:rPr/>
      </w:pPr>
      <w:r>
        <w:rPr/>
        <w:t>2</w:t>
        <w:tab/>
        <w:t>Products</w:t>
      </w:r>
    </w:p>
    <w:p>
      <w:pPr>
        <w:pStyle w:val="Heading3"/>
        <w:numPr>
          <w:ilvl w:val="0"/>
          <w:numId w:val="0"/>
        </w:numPr>
        <w:tabs>
          <w:tab w:val="left" w:pos="360" w:leader="none"/>
          <w:tab w:val="left" w:pos="720" w:leader="none"/>
          <w:tab w:val="left" w:pos="9360" w:leader="none"/>
        </w:tabs>
        <w:ind w:hanging="360" w:start="360" w:end="0"/>
        <w:rPr/>
      </w:pPr>
      <w:r>
        <w:rPr/>
        <w:t>2.1</w:t>
        <w:tab/>
        <w:t>Permitted Products</w:t>
      </w:r>
    </w:p>
    <w:p>
      <w:pPr>
        <w:pStyle w:val="normindent"/>
        <w:keepNext w:val="true"/>
        <w:numPr>
          <w:ilvl w:val="0"/>
          <w:numId w:val="0"/>
        </w:numPr>
        <w:tabs>
          <w:tab w:val="left" w:pos="360" w:leader="none"/>
          <w:tab w:val="left" w:pos="720" w:leader="none"/>
          <w:tab w:val="left" w:pos="9360" w:leader="none"/>
        </w:tabs>
        <w:spacing w:before="0" w:after="120"/>
        <w:ind w:hanging="0" w:start="360" w:end="0"/>
        <w:rPr/>
      </w:pPr>
      <w:r>
        <w:rPr/>
        <w:t>The following products are permitted Day One:</w:t>
      </w:r>
    </w:p>
    <w:p>
      <w:pPr>
        <w:pStyle w:val="NIBullet"/>
        <w:numPr>
          <w:ilvl w:val="0"/>
          <w:numId w:val="11"/>
        </w:numPr>
        <w:rPr/>
      </w:pPr>
      <w:r>
        <w:rPr/>
        <w:t xml:space="preserve">for natural gas </w:t>
      </w:r>
    </w:p>
    <w:p>
      <w:pPr>
        <w:pStyle w:val="bullet41"/>
        <w:numPr>
          <w:ilvl w:val="0"/>
          <w:numId w:val="7"/>
        </w:numPr>
        <w:ind w:hanging="0" w:start="720"/>
        <w:rPr/>
      </w:pPr>
      <w:r>
        <w:rPr/>
        <w:t>financially settled forwards, swaps, and options</w:t>
      </w:r>
    </w:p>
    <w:p>
      <w:pPr>
        <w:pStyle w:val="bullet41"/>
        <w:numPr>
          <w:ilvl w:val="0"/>
          <w:numId w:val="7"/>
        </w:numPr>
        <w:ind w:hanging="0" w:start="720"/>
        <w:rPr/>
      </w:pPr>
      <w:r>
        <w:rPr/>
        <w:t>physically and financially settled exchange-traded futures and options, direct with the exchange and on the Bank's own behalf only</w:t>
      </w:r>
    </w:p>
    <w:p>
      <w:pPr>
        <w:pStyle w:val="bullet41"/>
        <w:numPr>
          <w:ilvl w:val="0"/>
          <w:numId w:val="7"/>
        </w:numPr>
        <w:ind w:hanging="0" w:start="720"/>
        <w:rPr/>
      </w:pPr>
      <w:r>
        <w:rPr/>
        <w:t>physically settled spot and forward transactions</w:t>
      </w:r>
    </w:p>
    <w:p>
      <w:pPr>
        <w:pStyle w:val="NIBullet"/>
        <w:numPr>
          <w:ilvl w:val="0"/>
          <w:numId w:val="11"/>
        </w:numPr>
        <w:rPr/>
      </w:pPr>
      <w:r>
        <w:rPr/>
        <w:t>for power</w:t>
      </w:r>
    </w:p>
    <w:p>
      <w:pPr>
        <w:pStyle w:val="bullet41"/>
        <w:numPr>
          <w:ilvl w:val="0"/>
          <w:numId w:val="7"/>
        </w:numPr>
        <w:ind w:hanging="0" w:start="720"/>
        <w:rPr/>
      </w:pPr>
      <w:r>
        <w:rPr/>
        <w:t>financially settled forwards, swaps, and options</w:t>
      </w:r>
    </w:p>
    <w:p>
      <w:pPr>
        <w:pStyle w:val="bullet41"/>
        <w:numPr>
          <w:ilvl w:val="0"/>
          <w:numId w:val="7"/>
        </w:numPr>
        <w:spacing w:before="0" w:after="240"/>
        <w:ind w:hanging="0" w:start="720"/>
        <w:rPr/>
      </w:pPr>
      <w:r>
        <w:rPr/>
        <w:t>physically settled spot and forward transactions with Electricity Reliability Council of Texas member counterparties only.</w:t>
      </w:r>
    </w:p>
    <w:p>
      <w:pPr>
        <w:pStyle w:val="normindent"/>
        <w:keepNext w:val="true"/>
        <w:numPr>
          <w:ilvl w:val="0"/>
          <w:numId w:val="0"/>
        </w:numPr>
        <w:tabs>
          <w:tab w:val="left" w:pos="360" w:leader="none"/>
          <w:tab w:val="left" w:pos="720" w:leader="none"/>
          <w:tab w:val="left" w:pos="9360" w:leader="none"/>
        </w:tabs>
        <w:spacing w:before="0" w:after="120"/>
        <w:ind w:hanging="0" w:start="360" w:end="0"/>
        <w:rPr/>
      </w:pPr>
      <w:r>
        <w:rPr/>
        <w:t>The following products are currently going through the New Business Process (see section 2.3 below) and are expected to be approved shortly for hedging only.  Any additional restrictions will be determined as part of the approval:</w:t>
      </w:r>
    </w:p>
    <w:p>
      <w:pPr>
        <w:pStyle w:val="NIBullet"/>
        <w:numPr>
          <w:ilvl w:val="0"/>
          <w:numId w:val="11"/>
        </w:numPr>
        <w:rPr/>
      </w:pPr>
      <w:r>
        <w:rPr/>
        <w:t>for oil (heating and crude)</w:t>
      </w:r>
    </w:p>
    <w:p>
      <w:pPr>
        <w:pStyle w:val="bullet41"/>
        <w:numPr>
          <w:ilvl w:val="0"/>
          <w:numId w:val="7"/>
        </w:numPr>
        <w:ind w:hanging="0" w:start="720"/>
        <w:rPr/>
      </w:pPr>
      <w:r>
        <w:rPr/>
        <w:t>financially settled forwards, swaps, and options</w:t>
      </w:r>
    </w:p>
    <w:p>
      <w:pPr>
        <w:pStyle w:val="bullet41"/>
        <w:numPr>
          <w:ilvl w:val="0"/>
          <w:numId w:val="7"/>
        </w:numPr>
        <w:ind w:hanging="0" w:start="720"/>
        <w:rPr/>
      </w:pPr>
      <w:r>
        <w:rPr/>
        <w:t>financially settled exchange-traded futures and options, direct with the exchange</w:t>
      </w:r>
    </w:p>
    <w:p>
      <w:pPr>
        <w:pStyle w:val="NIBullet"/>
        <w:numPr>
          <w:ilvl w:val="0"/>
          <w:numId w:val="11"/>
        </w:numPr>
        <w:rPr/>
      </w:pPr>
      <w:r>
        <w:rPr/>
        <w:t xml:space="preserve">for coal </w:t>
      </w:r>
    </w:p>
    <w:p>
      <w:pPr>
        <w:pStyle w:val="bullet41"/>
        <w:numPr>
          <w:ilvl w:val="0"/>
          <w:numId w:val="7"/>
        </w:numPr>
        <w:spacing w:before="0" w:after="240"/>
        <w:ind w:hanging="0" w:start="720"/>
        <w:rPr/>
      </w:pPr>
      <w:r>
        <w:rPr/>
        <w:t>physically settled spot and forward transactions (intended to be cash settled).</w:t>
      </w:r>
    </w:p>
    <w:p>
      <w:pPr>
        <w:pStyle w:val="normindent"/>
        <w:rPr>
          <w:lang w:val="en-US"/>
        </w:rPr>
      </w:pPr>
      <w:r>
        <w:rPr>
          <w:lang w:val="en-US"/>
        </w:rPr>
        <w:t>Products not listed in this section are not authorised for Day One trading.</w:t>
      </w:r>
    </w:p>
    <w:p>
      <w:pPr>
        <w:pStyle w:val="Heading3"/>
        <w:rPr/>
      </w:pPr>
      <w:r>
        <w:rPr/>
        <w:t>2.2</w:t>
        <w:tab/>
        <w:t>Transactions Requiring Pre-Approval</w:t>
      </w:r>
    </w:p>
    <w:p>
      <w:pPr>
        <w:pStyle w:val="Normindent1"/>
        <w:rPr/>
      </w:pPr>
      <w:r>
        <w:rPr/>
        <w:t>Some transactions, because of their size, complexity, structure or motivation, require pre-approval from control and logistics functions which may include, in addition to MRC and CRC (both UBSWE and UBSW), QRMS, Controlling, Tax, Legal, Compliance and Operations.</w:t>
      </w:r>
      <w:r>
        <w:rPr>
          <w:rStyle w:val="EndnoteCharacters"/>
          <w:rStyle w:val="EndnoteReference"/>
        </w:rPr>
        <w:endnoteReference w:id="3"/>
      </w:r>
      <w:r>
        <w:rPr/>
        <w:t xml:space="preserve">  It is the responsibility of the New Business Group to co-ordinate the approval process.</w:t>
      </w:r>
    </w:p>
    <w:p>
      <w:pPr>
        <w:pStyle w:val="Normindent1"/>
        <w:spacing w:before="0" w:after="120"/>
        <w:rPr/>
      </w:pPr>
      <w:r>
        <w:rPr/>
        <w:t>Such transactions, which must be referred by the Business to CRC as the single point of contact, fall into four generic categories:</w:t>
      </w:r>
    </w:p>
    <w:p>
      <w:pPr>
        <w:pStyle w:val="NIBullet3"/>
        <w:numPr>
          <w:ilvl w:val="0"/>
          <w:numId w:val="5"/>
        </w:numPr>
        <w:rPr/>
      </w:pPr>
      <w:r>
        <w:rPr>
          <w:b/>
        </w:rPr>
        <w:t>Large Transactions</w:t>
      </w:r>
      <w:r>
        <w:rPr/>
        <w:t xml:space="preserve"> – notional amounts greater than USD 50 million [to be confirmed].</w:t>
        <w:tab/>
      </w:r>
    </w:p>
    <w:p>
      <w:pPr>
        <w:pStyle w:val="NIBullet3"/>
        <w:numPr>
          <w:ilvl w:val="0"/>
          <w:numId w:val="5"/>
        </w:numPr>
        <w:rPr/>
      </w:pPr>
      <w:r>
        <w:rPr>
          <w:b/>
        </w:rPr>
        <w:t>Heavily Structured or Complex Transactions</w:t>
      </w:r>
      <w:r>
        <w:rPr/>
        <w:t xml:space="preserve"> – highly tailored to requirements of a counterparty / use of Special Purpose Vehicles or client created vehicles / involving bespoke models for valuation and risk management / concentration of non-financial risk</w:t>
        <w:tab/>
      </w:r>
    </w:p>
    <w:p>
      <w:pPr>
        <w:pStyle w:val="NIBullet3"/>
        <w:numPr>
          <w:ilvl w:val="0"/>
          <w:numId w:val="5"/>
        </w:numPr>
        <w:rPr>
          <w:b/>
        </w:rPr>
      </w:pPr>
      <w:r>
        <w:rPr>
          <w:b/>
        </w:rPr>
        <w:t>Tax, Legal, Accounting, Regulatory, or Environmentally Sensitive Transactions</w:t>
      </w:r>
      <w:r>
        <w:rPr/>
        <w:tab/>
      </w:r>
    </w:p>
    <w:p>
      <w:pPr>
        <w:pStyle w:val="NIBullet3"/>
        <w:numPr>
          <w:ilvl w:val="0"/>
          <w:numId w:val="5"/>
        </w:numPr>
        <w:spacing w:before="0" w:after="240"/>
        <w:rPr>
          <w:b/>
        </w:rPr>
      </w:pPr>
      <w:r>
        <w:rPr>
          <w:b/>
        </w:rPr>
        <w:t xml:space="preserve">Non-Vanilla Transactions </w:t>
      </w:r>
      <w:r>
        <w:rPr/>
        <w:t>– inclusion of early termination clauses / non-standard cash-flows, terms or conditions / off market pricing / valuation and risk management model not yet approved / not automatically captured in CRC or MRC risk measurement systems / requiring exceptional processing by Operations / non-standard UBS booking entity.</w:t>
        <w:tab/>
      </w:r>
    </w:p>
    <w:p>
      <w:pPr>
        <w:pStyle w:val="Normindent1"/>
        <w:rPr/>
      </w:pPr>
      <w:r>
        <w:rPr/>
        <w:t>The Business must apply sense and judgement when assessing whether a transaction requires referral:  if in any doubt, a transaction should always be referred.</w:t>
      </w:r>
    </w:p>
    <w:p>
      <w:pPr>
        <w:pStyle w:val="Heading3"/>
        <w:rPr/>
      </w:pPr>
      <w:r>
        <w:rPr/>
        <w:t>2.3</w:t>
        <w:tab/>
        <w:t>New Business Process</w:t>
      </w:r>
    </w:p>
    <w:p>
      <w:pPr>
        <w:pStyle w:val="normindent"/>
        <w:rPr/>
      </w:pPr>
      <w:r>
        <w:rPr/>
        <w:t>The purpose of this process is to ensure that, before a significant or material change is made to the scope or content of UBSWE’s business, all risks are appropriately evaluated and all necessary infrastructure is put in place.</w:t>
      </w:r>
      <w:r>
        <w:rPr>
          <w:rStyle w:val="EndnoteCharacters"/>
          <w:rStyle w:val="EndnoteReference"/>
        </w:rPr>
        <w:endnoteReference w:id="4"/>
      </w:r>
      <w:r>
        <w:rPr/>
        <w:t xml:space="preserve">  This includes new businesses, new products, new systems, and other significant changes (e.g., coal and oil products – see 2.1 above).</w:t>
      </w:r>
    </w:p>
    <w:p>
      <w:pPr>
        <w:pStyle w:val="normindent"/>
        <w:rPr>
          <w:lang w:val="en-US"/>
        </w:rPr>
      </w:pPr>
      <w:r>
        <w:rPr>
          <w:lang w:val="en-US"/>
        </w:rPr>
        <w:t>New Business Group (NBG) plays the main coordination role between the Business Areas and Logistics functions.  Each functional area must assess the activity or transaction and determine whether or not such activity can commence.  Sign-off by the functional area does not require that every conceivable control is in place, but that all required steps have been identified and are considered manageable by the department concerned.</w:t>
      </w:r>
    </w:p>
    <w:p>
      <w:pPr>
        <w:pStyle w:val="normindent"/>
        <w:rPr>
          <w:lang w:val="en-US"/>
        </w:rPr>
      </w:pPr>
      <w:r>
        <w:rPr>
          <w:lang w:val="en-US"/>
        </w:rPr>
        <w:t xml:space="preserve">NBG will determine when all necessary sign-offs have been received and will coordinate the resolution of any concerns/misgivings that the functional areas may have regarding the ability or capacity of a business area to operate a new activity in an appropriate manner.  Any conditions attached to any sign off will be notified to the Business by NBG.  </w:t>
      </w:r>
    </w:p>
    <w:p>
      <w:pPr>
        <w:pStyle w:val="Heading2"/>
        <w:numPr>
          <w:ilvl w:val="0"/>
          <w:numId w:val="6"/>
        </w:numPr>
        <w:spacing w:before="120" w:after="240"/>
        <w:rPr/>
      </w:pPr>
      <w:r>
        <w:rPr/>
        <w:t>Counterparties</w:t>
      </w:r>
    </w:p>
    <w:p>
      <w:pPr>
        <w:pStyle w:val="Heading3"/>
        <w:rPr/>
      </w:pPr>
      <w:r>
        <w:rPr/>
        <w:t>3.1</w:t>
        <w:tab/>
        <w:t xml:space="preserve">General Requirements </w:t>
      </w:r>
    </w:p>
    <w:p>
      <w:pPr>
        <w:pStyle w:val="normindent"/>
        <w:numPr>
          <w:ilvl w:val="0"/>
          <w:numId w:val="0"/>
        </w:numPr>
        <w:tabs>
          <w:tab w:val="left" w:pos="360" w:leader="none"/>
          <w:tab w:val="left" w:pos="720" w:leader="none"/>
          <w:tab w:val="left" w:pos="9360" w:leader="none"/>
        </w:tabs>
        <w:spacing w:before="0" w:after="120"/>
        <w:ind w:hanging="0" w:start="360" w:end="0"/>
        <w:rPr/>
      </w:pPr>
      <w:r>
        <w:rPr/>
        <w:t>Transactions may only be entered into with approved counterparties (see section 4.2 below).  A counterparty is eligible for trading a particular product when:</w:t>
      </w:r>
    </w:p>
    <w:p>
      <w:pPr>
        <w:pStyle w:val="NIBullet"/>
        <w:numPr>
          <w:ilvl w:val="0"/>
          <w:numId w:val="8"/>
        </w:numPr>
        <w:ind w:hanging="0" w:start="720"/>
        <w:rPr/>
      </w:pPr>
      <w:r>
        <w:rPr/>
        <w:t>they have been sponsored by the Head of the Business or a designated deputy [to be confirmed] indicated by sign-off on the account opening forms</w:t>
      </w:r>
    </w:p>
    <w:p>
      <w:pPr>
        <w:pStyle w:val="NIBullet"/>
        <w:numPr>
          <w:ilvl w:val="0"/>
          <w:numId w:val="8"/>
        </w:numPr>
        <w:ind w:hanging="0" w:start="720"/>
        <w:rPr/>
      </w:pPr>
      <w:r>
        <w:rPr/>
        <w:t>they have been vetted to ensure, as far as can reasonably be ascertained:</w:t>
      </w:r>
    </w:p>
    <w:p>
      <w:pPr>
        <w:pStyle w:val="bullet41"/>
        <w:numPr>
          <w:ilvl w:val="0"/>
          <w:numId w:val="7"/>
        </w:numPr>
        <w:ind w:hanging="0" w:start="720"/>
        <w:rPr/>
      </w:pPr>
      <w:r>
        <w:rPr/>
        <w:t xml:space="preserve">definitive identification, </w:t>
      </w:r>
      <w:r>
        <w:rPr>
          <w:i/>
        </w:rPr>
        <w:t>and</w:t>
      </w:r>
    </w:p>
    <w:p>
      <w:pPr>
        <w:pStyle w:val="bullet41"/>
        <w:numPr>
          <w:ilvl w:val="0"/>
          <w:numId w:val="7"/>
        </w:numPr>
        <w:ind w:hanging="0" w:start="720"/>
        <w:rPr/>
      </w:pPr>
      <w:r>
        <w:rPr/>
        <w:t xml:space="preserve">no engagement in illegal activities, particularly money laundering, or other activities of dubious integrity, </w:t>
      </w:r>
      <w:r>
        <w:rPr>
          <w:i/>
        </w:rPr>
        <w:t>and</w:t>
      </w:r>
    </w:p>
    <w:p>
      <w:pPr>
        <w:pStyle w:val="bullet41"/>
        <w:numPr>
          <w:ilvl w:val="0"/>
          <w:numId w:val="7"/>
        </w:numPr>
        <w:ind w:hanging="0" w:start="720"/>
        <w:rPr/>
      </w:pPr>
      <w:r>
        <w:rPr/>
        <w:t>legal capacity to enter into the proposed engagements</w:t>
      </w:r>
    </w:p>
    <w:p>
      <w:pPr>
        <w:pStyle w:val="NIBullet"/>
        <w:numPr>
          <w:ilvl w:val="0"/>
          <w:numId w:val="8"/>
        </w:numPr>
        <w:ind w:hanging="0" w:start="720"/>
        <w:rPr/>
      </w:pPr>
      <w:r>
        <w:rPr/>
        <w:t xml:space="preserve">analysed and rated by CRC </w:t>
      </w:r>
    </w:p>
    <w:p>
      <w:pPr>
        <w:pStyle w:val="NIBullet"/>
        <w:numPr>
          <w:ilvl w:val="0"/>
          <w:numId w:val="8"/>
        </w:numPr>
        <w:ind w:hanging="0" w:start="720"/>
        <w:rPr/>
      </w:pPr>
      <w:r>
        <w:rPr/>
        <w:t>all necessary limits for the product have been set and entered into the appropriate systems (see section 3.2 below), and</w:t>
      </w:r>
    </w:p>
    <w:p>
      <w:pPr>
        <w:pStyle w:val="NIBullet"/>
        <w:numPr>
          <w:ilvl w:val="0"/>
          <w:numId w:val="8"/>
        </w:numPr>
        <w:spacing w:before="0" w:after="240"/>
        <w:ind w:hanging="0" w:start="720"/>
        <w:rPr/>
      </w:pPr>
      <w:r>
        <w:rPr/>
        <w:t>all required documentation for the product has been executed and received (see section 5 below) including any applicable parent guarantee.</w:t>
      </w:r>
    </w:p>
    <w:p>
      <w:pPr>
        <w:pStyle w:val="Heading3"/>
        <w:rPr/>
      </w:pPr>
      <w:r>
        <w:rPr/>
        <w:t>3.2</w:t>
        <w:tab/>
        <w:t xml:space="preserve">Counterparty Location </w:t>
      </w:r>
    </w:p>
    <w:p>
      <w:pPr>
        <w:pStyle w:val="normindent"/>
        <w:rPr/>
      </w:pPr>
      <w:r>
        <w:rPr/>
        <w:t xml:space="preserve">Transactions may only be executed with counterparties or branches of counterparties located in the following S0 to S2-rated countries:  Andorra, Australia, Austria, Bahamas, Belgium, Bermuda, Canada, Cayman Islands, Denmark, Finland, France, Germany, Ireland, Italy, Japan, Liechtenstein, Luxembourg, Netherlands, New Zealand, Norway, Portugal, Singapore, Spain, Sweden, Switzerland, UK, and the USA. </w:t>
      </w:r>
    </w:p>
    <w:p>
      <w:pPr>
        <w:pStyle w:val="Heading2"/>
        <w:rPr>
          <w:lang w:val="en-US"/>
        </w:rPr>
      </w:pPr>
      <w:r>
        <w:rPr>
          <w:lang w:val="en-US"/>
        </w:rPr>
        <w:t>4</w:t>
        <w:tab/>
        <w:t>Limits</w:t>
      </w:r>
    </w:p>
    <w:p>
      <w:pPr>
        <w:pStyle w:val="Heading3"/>
        <w:rPr>
          <w:lang w:val="en-US"/>
        </w:rPr>
      </w:pPr>
      <w:r>
        <w:rPr>
          <w:lang w:val="en-US"/>
        </w:rPr>
        <w:t>4.1</w:t>
        <w:tab/>
        <w:t>Limits</w:t>
      </w:r>
    </w:p>
    <w:p>
      <w:pPr>
        <w:pStyle w:val="normindent"/>
        <w:rPr/>
      </w:pPr>
      <w:r>
        <w:rPr/>
        <w:t>All limits must be approved in accordance with delegated credit authorities.</w:t>
      </w:r>
    </w:p>
    <w:p>
      <w:pPr>
        <w:pStyle w:val="Heading5"/>
        <w:rPr/>
      </w:pPr>
      <w:r>
        <w:rPr/>
        <w:t>4.1.1</w:t>
        <w:tab/>
        <w:t>Counterparty Limits</w:t>
      </w:r>
    </w:p>
    <w:p>
      <w:pPr>
        <w:pStyle w:val="normindent2"/>
        <w:rPr/>
      </w:pPr>
      <w:r>
        <w:rPr>
          <w:b/>
        </w:rPr>
        <w:t xml:space="preserve">Global Risk Limits - </w:t>
      </w:r>
      <w:r>
        <w:rPr/>
        <w:t xml:space="preserve">A Global Risk Limit (GRL) must be set and recorded in RXM for each counterparty engaging in forwards, swaps, or options.  In addition, a limit of no more than 70% of the GRL must be recorded in the CAS system.  The CAS Limit (which must be split into separate sub-limits for financially settled transactions, physically settled natural gas transactions, and physically settled power transactions, as applicable) is established in order to compensate for system limitations in accurately determining intraday counterparty exposure.  Consideration must also be given to the status of the counterparty's documentation when setting the GRL. </w:t>
      </w:r>
    </w:p>
    <w:p>
      <w:pPr>
        <w:pStyle w:val="normindent2"/>
        <w:rPr/>
      </w:pPr>
      <w:r>
        <w:rPr>
          <w:b/>
        </w:rPr>
        <w:t xml:space="preserve">Collateral Thresholds and Minimum Transfer Amounts (MTAs) </w:t>
      </w:r>
      <w:r>
        <w:rPr/>
        <w:t>- A Collateral Threshold and MTA – limits indicating the allowable unsecured exposure – must be established for all collateralised trading relationships and recorded in the CAS system.</w:t>
      </w:r>
    </w:p>
    <w:p>
      <w:pPr>
        <w:pStyle w:val="Heading5"/>
        <w:rPr/>
      </w:pPr>
      <w:r>
        <w:rPr>
          <w:lang w:val="en-US"/>
        </w:rPr>
        <w:t>4.1.2</w:t>
        <w:tab/>
      </w:r>
      <w:r>
        <w:rPr/>
        <w:t>Exchange Limits for Exchange-Traded Derivatives</w:t>
      </w:r>
    </w:p>
    <w:p>
      <w:pPr>
        <w:pStyle w:val="normindent2"/>
        <w:rPr/>
      </w:pPr>
      <w:r>
        <w:rPr/>
        <w:t>Where UBSWE trades directly with an exchange on behalf of the Bank, an Exchange Limit must be established and recorded in RXM.  ETD trading on behalf of counterparties is not permitted.</w:t>
      </w:r>
    </w:p>
    <w:p>
      <w:pPr>
        <w:pStyle w:val="Heading3"/>
        <w:numPr>
          <w:ilvl w:val="0"/>
          <w:numId w:val="0"/>
        </w:numPr>
        <w:ind w:hanging="360" w:start="360" w:end="0"/>
        <w:rPr/>
      </w:pPr>
      <w:r>
        <w:rPr>
          <w:lang w:val="en-US"/>
        </w:rPr>
        <w:t>4.2</w:t>
        <w:tab/>
      </w:r>
      <w:r>
        <w:rPr/>
        <w:t>Limit Availability</w:t>
      </w:r>
    </w:p>
    <w:p>
      <w:pPr>
        <w:pStyle w:val="NormalIndent"/>
        <w:numPr>
          <w:ilvl w:val="0"/>
          <w:numId w:val="0"/>
        </w:numPr>
        <w:ind w:hanging="0" w:start="360" w:end="0"/>
        <w:rPr/>
      </w:pPr>
      <w:r>
        <w:rPr/>
        <w:t>For all on-line trading, there must be sufficient limit available under all applicable limits as shown in the UBSWE on-line trading system before a transaction may be concluded.  A limit excess may be approved by CRC in accordance with delegated credit authorities on an exceptional basis, but approval must be given before trading.</w:t>
      </w:r>
    </w:p>
    <w:p>
      <w:pPr>
        <w:pStyle w:val="NormalIndent"/>
        <w:keepNext w:val="true"/>
        <w:keepLines/>
        <w:numPr>
          <w:ilvl w:val="0"/>
          <w:numId w:val="0"/>
        </w:numPr>
        <w:ind w:hanging="0" w:start="360" w:end="0"/>
        <w:rPr/>
      </w:pPr>
      <w:r>
        <w:rPr/>
        <w:t>For all off-line trading, CRC will distribute a list of approved counterparties to the Business on a daily basis highlighting those that require CRC approval before trading.  The list is distributed each morning and is applicable for that day only.  A counterparty's inclusion in the pre-approval list is determined by the CO after considering limit utilisation and outstanding documentation, among other issues.</w:t>
      </w:r>
    </w:p>
    <w:p>
      <w:pPr>
        <w:pStyle w:val="Heading3"/>
        <w:rPr/>
      </w:pPr>
      <w:r>
        <w:rPr/>
        <w:t>4.3</w:t>
        <w:tab/>
        <w:t>Maximum Allowable Tenors</w:t>
      </w:r>
    </w:p>
    <w:p>
      <w:pPr>
        <w:pStyle w:val="normindent"/>
        <w:rPr>
          <w:b/>
        </w:rPr>
      </w:pPr>
      <w:r>
        <w:rPr>
          <w:b/>
        </w:rPr>
        <w:t>In addition to the credit risk tenor controls addressed in this section, all transaction tenors are subject to market risk tenor restrictions – see section 6.1 below.</w:t>
      </w:r>
    </w:p>
    <w:p>
      <w:pPr>
        <w:pStyle w:val="normindent"/>
        <w:rPr/>
      </w:pPr>
      <w:r>
        <w:rPr/>
        <w:t>The maximum tenors for unsecured transactions are as follows:</w:t>
      </w:r>
    </w:p>
    <w:tbl>
      <w:tblPr>
        <w:tblW w:w="8550" w:type="dxa"/>
        <w:jc w:val="start"/>
        <w:tblInd w:w="558" w:type="dxa"/>
        <w:tblLayout w:type="fixed"/>
        <w:tblCellMar>
          <w:top w:w="0" w:type="dxa"/>
          <w:start w:w="108" w:type="dxa"/>
          <w:bottom w:w="0" w:type="dxa"/>
          <w:end w:w="108" w:type="dxa"/>
        </w:tblCellMar>
      </w:tblPr>
      <w:tblGrid>
        <w:gridCol w:w="2610"/>
        <w:gridCol w:w="1080"/>
        <w:gridCol w:w="810"/>
        <w:gridCol w:w="783"/>
        <w:gridCol w:w="810"/>
        <w:gridCol w:w="810"/>
        <w:gridCol w:w="810"/>
        <w:gridCol w:w="837"/>
      </w:tblGrid>
      <w:tr>
        <w:trPr/>
        <w:tc>
          <w:tcPr>
            <w:tcW w:w="2610" w:type="dxa"/>
            <w:tcBorders>
              <w:top w:val="single" w:sz="4" w:space="0" w:color="000000"/>
              <w:start w:val="single" w:sz="4" w:space="0" w:color="000000"/>
              <w:bottom w:val="single" w:sz="4" w:space="0" w:color="000000"/>
              <w:end w:val="single" w:sz="4" w:space="0" w:color="000000"/>
            </w:tcBorders>
          </w:tcPr>
          <w:p>
            <w:pPr>
              <w:pStyle w:val="normindent"/>
              <w:snapToGrid w:val="false"/>
              <w:spacing w:before="0" w:after="120"/>
              <w:ind w:start="0" w:end="0"/>
              <w:rPr>
                <w:b/>
              </w:rPr>
            </w:pPr>
            <w:r>
              <w:rPr>
                <w:b/>
              </w:rPr>
            </w:r>
          </w:p>
        </w:tc>
        <w:tc>
          <w:tcPr>
            <w:tcW w:w="5940" w:type="dxa"/>
            <w:gridSpan w:val="7"/>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b/>
              </w:rPr>
            </w:pPr>
            <w:r>
              <w:rPr>
                <w:b/>
              </w:rPr>
              <w:t>Maximum tenor in years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rPr>
                <w:b/>
              </w:rPr>
            </w:pPr>
            <w:r>
              <w:rPr>
                <w:b/>
              </w:rPr>
              <w:t>Counterparty Rating</w:t>
            </w:r>
          </w:p>
        </w:tc>
        <w:tc>
          <w:tcPr>
            <w:tcW w:w="108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C1 – C4</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C5</w:t>
            </w:r>
          </w:p>
        </w:tc>
        <w:tc>
          <w:tcPr>
            <w:tcW w:w="783"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C6</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C7</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C8</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C9</w:t>
            </w:r>
          </w:p>
        </w:tc>
        <w:tc>
          <w:tcPr>
            <w:tcW w:w="837"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D0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rPr>
                <w:b/>
              </w:rPr>
            </w:pPr>
            <w:r>
              <w:rPr>
                <w:b/>
              </w:rPr>
              <w:t>w/ CO approval</w:t>
            </w:r>
          </w:p>
        </w:tc>
        <w:tc>
          <w:tcPr>
            <w:tcW w:w="108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5</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3</w:t>
            </w:r>
          </w:p>
        </w:tc>
        <w:tc>
          <w:tcPr>
            <w:tcW w:w="783"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1.5</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1</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1</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0.5</w:t>
            </w:r>
          </w:p>
        </w:tc>
        <w:tc>
          <w:tcPr>
            <w:tcW w:w="837"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rPr>
                <w:b/>
              </w:rPr>
            </w:pPr>
            <w:r>
              <w:rPr>
                <w:b/>
              </w:rPr>
              <w:t>w/ RCCO or designated deputy approval</w:t>
            </w:r>
          </w:p>
        </w:tc>
        <w:tc>
          <w:tcPr>
            <w:tcW w:w="108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7</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5</w:t>
            </w:r>
          </w:p>
        </w:tc>
        <w:tc>
          <w:tcPr>
            <w:tcW w:w="783"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3</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2</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2</w:t>
            </w:r>
          </w:p>
        </w:tc>
        <w:tc>
          <w:tcPr>
            <w:tcW w:w="81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1</w:t>
            </w:r>
          </w:p>
        </w:tc>
        <w:tc>
          <w:tcPr>
            <w:tcW w:w="837"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0.5</w:t>
            </w:r>
          </w:p>
        </w:tc>
      </w:tr>
    </w:tbl>
    <w:p>
      <w:pPr>
        <w:pStyle w:val="normindent"/>
        <w:spacing w:before="0" w:after="0"/>
        <w:rPr/>
      </w:pPr>
      <w:r>
        <w:rPr/>
      </w:r>
    </w:p>
    <w:p>
      <w:pPr>
        <w:pStyle w:val="normindent"/>
        <w:rPr/>
      </w:pPr>
      <w:r>
        <w:rPr/>
        <w:t>For secured transactions, longer tenors may be approved by the CO for counterparties rated C6 or better, provided that the Collateral Threshold plus MTA for the counterparty is less than USD 5 million.  If the Collateral Threshold plus MTA is greater than USD 5 million, the transaction must be considered unsecured for the purposes of maximum tenor and will be subject to the table shown above.  The maximum tenors for qualifying secured transactions are as follows:</w:t>
      </w:r>
    </w:p>
    <w:tbl>
      <w:tblPr>
        <w:tblW w:w="6570" w:type="dxa"/>
        <w:jc w:val="start"/>
        <w:tblInd w:w="558" w:type="dxa"/>
        <w:tblLayout w:type="fixed"/>
        <w:tblCellMar>
          <w:top w:w="0" w:type="dxa"/>
          <w:start w:w="108" w:type="dxa"/>
          <w:bottom w:w="0" w:type="dxa"/>
          <w:end w:w="108" w:type="dxa"/>
        </w:tblCellMar>
      </w:tblPr>
      <w:tblGrid>
        <w:gridCol w:w="2700"/>
        <w:gridCol w:w="1350"/>
        <w:gridCol w:w="1350"/>
        <w:gridCol w:w="1170"/>
      </w:tblGrid>
      <w:tr>
        <w:trPr/>
        <w:tc>
          <w:tcPr>
            <w:tcW w:w="2700" w:type="dxa"/>
            <w:tcBorders>
              <w:top w:val="single" w:sz="4" w:space="0" w:color="000000"/>
              <w:start w:val="single" w:sz="4" w:space="0" w:color="000000"/>
              <w:bottom w:val="single" w:sz="4" w:space="0" w:color="000000"/>
              <w:end w:val="single" w:sz="4" w:space="0" w:color="000000"/>
            </w:tcBorders>
          </w:tcPr>
          <w:p>
            <w:pPr>
              <w:pStyle w:val="normindent"/>
              <w:snapToGrid w:val="false"/>
              <w:spacing w:before="0" w:after="120"/>
              <w:ind w:start="0" w:end="0"/>
              <w:rPr>
                <w:b/>
              </w:rPr>
            </w:pPr>
            <w:r>
              <w:rPr>
                <w:b/>
              </w:rPr>
            </w:r>
          </w:p>
        </w:tc>
        <w:tc>
          <w:tcPr>
            <w:tcW w:w="3870" w:type="dxa"/>
            <w:gridSpan w:val="3"/>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b/>
              </w:rPr>
            </w:pPr>
            <w:r>
              <w:rPr>
                <w:b/>
              </w:rPr>
              <w:t>Maximum tenor in years</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rPr>
                <w:b/>
              </w:rPr>
            </w:pPr>
            <w:r>
              <w:rPr>
                <w:b/>
              </w:rPr>
              <w:t>Counterparty Rating</w:t>
            </w:r>
          </w:p>
        </w:tc>
        <w:tc>
          <w:tcPr>
            <w:tcW w:w="135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C1 – C4</w:t>
            </w:r>
          </w:p>
        </w:tc>
        <w:tc>
          <w:tcPr>
            <w:tcW w:w="135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C5</w:t>
            </w:r>
          </w:p>
        </w:tc>
        <w:tc>
          <w:tcPr>
            <w:tcW w:w="117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C6</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rPr>
                <w:b/>
              </w:rPr>
            </w:pPr>
            <w:r>
              <w:rPr>
                <w:b/>
              </w:rPr>
              <w:t>w/ CO approval</w:t>
            </w:r>
          </w:p>
        </w:tc>
        <w:tc>
          <w:tcPr>
            <w:tcW w:w="135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7</w:t>
            </w:r>
          </w:p>
        </w:tc>
        <w:tc>
          <w:tcPr>
            <w:tcW w:w="135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indent"/>
              <w:spacing w:before="0" w:after="120"/>
              <w:ind w:start="0" w:end="0"/>
              <w:jc w:val="center"/>
              <w:rPr/>
            </w:pPr>
            <w:r>
              <w:rPr/>
              <w:t>3</w:t>
            </w:r>
          </w:p>
        </w:tc>
      </w:tr>
    </w:tbl>
    <w:p>
      <w:pPr>
        <w:pStyle w:val="normindent"/>
        <w:spacing w:before="0" w:after="0"/>
        <w:ind w:start="0" w:end="0"/>
        <w:rPr/>
      </w:pPr>
      <w:r>
        <w:rPr/>
      </w:r>
    </w:p>
    <w:p>
      <w:pPr>
        <w:pStyle w:val="normindent"/>
        <w:rPr/>
      </w:pPr>
      <w:r>
        <w:rPr/>
        <w:t>Transactions with longer tenors are exceptions to policy.</w:t>
      </w:r>
    </w:p>
    <w:p>
      <w:pPr>
        <w:pStyle w:val="Heading2"/>
        <w:rPr>
          <w:lang w:val="en-US"/>
        </w:rPr>
      </w:pPr>
      <w:r>
        <w:rPr>
          <w:lang w:val="en-US"/>
        </w:rPr>
        <w:t>5</w:t>
        <w:tab/>
        <w:t>Documentation</w:t>
      </w:r>
    </w:p>
    <w:p>
      <w:pPr>
        <w:pStyle w:val="Heading3"/>
        <w:rPr>
          <w:lang w:val="en-US"/>
        </w:rPr>
      </w:pPr>
      <w:r>
        <w:rPr>
          <w:lang w:val="en-US"/>
        </w:rPr>
        <w:t>5.1</w:t>
        <w:tab/>
        <w:t xml:space="preserve">Documents required </w:t>
      </w:r>
    </w:p>
    <w:p>
      <w:pPr>
        <w:pStyle w:val="normindent"/>
        <w:rPr/>
      </w:pPr>
      <w:r>
        <w:rPr/>
        <w:t xml:space="preserve">Ideally, all counterparties should have completed and executed an appropriate master agreement and provided evidence of power and authority prior to commencement of trading.   However, for those approved counterparties (see section 4.2 above) that do not have executed master agreements, a General Terms and Conditions document ("GTC") must be signed for the appropriate product (either on-line or hard copy) as an interim measure before trading can begin.  </w:t>
      </w:r>
    </w:p>
    <w:p>
      <w:pPr>
        <w:pStyle w:val="normindent"/>
        <w:rPr/>
      </w:pPr>
      <w:r>
        <w:rPr/>
        <w:t xml:space="preserve">These GTCs may be used as an interim measure with the understanding that an appropriate master agreement is subsequently negotiated and executed.  It is the responsibility of the Business to convey this intention to the counterparty.  Evidence of power and authority may be waived by the CO in the interim, but must be provided prior to execution of an appropriate master agreement. </w:t>
      </w:r>
    </w:p>
    <w:p>
      <w:pPr>
        <w:pStyle w:val="normindent"/>
        <w:rPr/>
      </w:pPr>
      <w:r>
        <w:rPr/>
        <w:t>CRC will produce a weekly report that will show the type of document used by each counterparty for Day One trading and the progress of the negotiation and execution of the appropriate master agreement.</w:t>
      </w:r>
    </w:p>
    <w:p>
      <w:pPr>
        <w:pStyle w:val="normindent"/>
        <w:keepNext w:val="true"/>
        <w:numPr>
          <w:ilvl w:val="0"/>
          <w:numId w:val="0"/>
        </w:numPr>
        <w:tabs>
          <w:tab w:val="left" w:pos="360" w:leader="none"/>
          <w:tab w:val="left" w:pos="720" w:leader="none"/>
          <w:tab w:val="left" w:pos="9360" w:leader="none"/>
        </w:tabs>
        <w:spacing w:before="0" w:after="120"/>
        <w:ind w:hanging="0" w:start="360" w:end="0"/>
        <w:rPr/>
      </w:pPr>
      <w:r>
        <w:rPr/>
        <w:t>There are separate GTCs for each type of product, and each one must be executed prior to trading that particular product type with a counterparty:</w:t>
      </w:r>
    </w:p>
    <w:p>
      <w:pPr>
        <w:pStyle w:val="NIBullet"/>
        <w:keepNext w:val="true"/>
        <w:numPr>
          <w:ilvl w:val="0"/>
          <w:numId w:val="8"/>
        </w:numPr>
        <w:ind w:hanging="0" w:start="720"/>
        <w:rPr/>
      </w:pPr>
      <w:r>
        <w:rPr/>
        <w:t>for physically settled transactions:</w:t>
      </w:r>
    </w:p>
    <w:p>
      <w:pPr>
        <w:pStyle w:val="bullet41"/>
        <w:keepNext w:val="true"/>
        <w:numPr>
          <w:ilvl w:val="0"/>
          <w:numId w:val="7"/>
        </w:numPr>
        <w:ind w:hanging="0" w:start="720"/>
        <w:rPr/>
      </w:pPr>
      <w:r>
        <w:rPr/>
        <w:t>separate versions for each type of energy</w:t>
      </w:r>
    </w:p>
    <w:p>
      <w:pPr>
        <w:pStyle w:val="bullet41"/>
        <w:keepNext w:val="true"/>
        <w:numPr>
          <w:ilvl w:val="0"/>
          <w:numId w:val="7"/>
        </w:numPr>
        <w:ind w:hanging="0" w:start="720"/>
        <w:rPr/>
      </w:pPr>
      <w:r>
        <w:rPr/>
        <w:t>separate versions for on-line and off-line trading</w:t>
      </w:r>
    </w:p>
    <w:p>
      <w:pPr>
        <w:pStyle w:val="NIBullet"/>
        <w:keepNext w:val="true"/>
        <w:numPr>
          <w:ilvl w:val="0"/>
          <w:numId w:val="8"/>
        </w:numPr>
        <w:ind w:hanging="0" w:start="720"/>
        <w:rPr/>
      </w:pPr>
      <w:r>
        <w:rPr/>
        <w:t>for financially settled transactions:</w:t>
      </w:r>
    </w:p>
    <w:p>
      <w:pPr>
        <w:pStyle w:val="bullet41"/>
        <w:numPr>
          <w:ilvl w:val="0"/>
          <w:numId w:val="7"/>
        </w:numPr>
        <w:spacing w:before="0" w:after="240"/>
        <w:ind w:hanging="0" w:start="720"/>
        <w:rPr/>
      </w:pPr>
      <w:r>
        <w:rPr/>
        <w:t xml:space="preserve">all types of energy can be included in the same document. </w:t>
      </w:r>
    </w:p>
    <w:p>
      <w:pPr>
        <w:pStyle w:val="normindent"/>
        <w:rPr>
          <w:b/>
        </w:rPr>
      </w:pPr>
      <w:r>
        <w:rPr>
          <w:b/>
        </w:rPr>
        <w:t>Trading without the relevant executed product GTC or an appropriate executed master agreement is not permitted unless explicit approval has been given by the CO.</w:t>
      </w:r>
    </w:p>
    <w:p>
      <w:pPr>
        <w:pStyle w:val="Heading3"/>
        <w:rPr/>
      </w:pPr>
      <w:r>
        <w:rPr/>
        <w:t>5.2</w:t>
        <w:tab/>
        <w:t>Responsibility</w:t>
      </w:r>
    </w:p>
    <w:p>
      <w:pPr>
        <w:pStyle w:val="NormalIndent"/>
        <w:numPr>
          <w:ilvl w:val="0"/>
          <w:numId w:val="0"/>
        </w:numPr>
        <w:tabs>
          <w:tab w:val="clear" w:pos="720"/>
          <w:tab w:val="left" w:pos="9360" w:leader="none"/>
        </w:tabs>
        <w:ind w:hanging="0" w:start="360" w:end="0"/>
        <w:rPr/>
      </w:pPr>
      <w:r>
        <w:rPr/>
        <w:t>It is the responsibility of the Business to ensure that appropriate documentation is executed by the counterparty prior to the commencement of trading.</w:t>
      </w:r>
    </w:p>
    <w:p>
      <w:pPr>
        <w:pStyle w:val="NormalIndent"/>
        <w:numPr>
          <w:ilvl w:val="0"/>
          <w:numId w:val="0"/>
        </w:numPr>
        <w:tabs>
          <w:tab w:val="clear" w:pos="720"/>
          <w:tab w:val="left" w:pos="9360" w:leader="none"/>
        </w:tabs>
        <w:ind w:hanging="0" w:start="360" w:end="0"/>
        <w:rPr/>
      </w:pPr>
      <w:r>
        <w:rPr/>
        <w:t>However, negotiation or modification of any documentation for energy transactions must be approved by, and is the responsibility of, UBSWE Legal, in consultation with the CO, UBSW Legal, and the UBSW Documentation Unit, and must be in accordance with the UBS Warburg Documentation for Trading Activities policy</w:t>
      </w:r>
      <w:r>
        <w:rPr>
          <w:rStyle w:val="EndnoteCharacters"/>
          <w:rStyle w:val="EndnoteReference"/>
        </w:rPr>
        <w:endnoteReference w:id="5"/>
      </w:r>
      <w:r>
        <w:rPr/>
        <w:t>.</w:t>
      </w:r>
    </w:p>
    <w:p>
      <w:pPr>
        <w:pStyle w:val="Heading2"/>
        <w:numPr>
          <w:ilvl w:val="0"/>
          <w:numId w:val="9"/>
        </w:numPr>
        <w:rPr/>
      </w:pPr>
      <w:r>
        <w:rPr/>
        <w:t>Collateral Management</w:t>
      </w:r>
    </w:p>
    <w:p>
      <w:pPr>
        <w:pStyle w:val="Heading3"/>
        <w:rPr/>
      </w:pPr>
      <w:r>
        <w:rPr/>
        <w:t>6.1</w:t>
        <w:tab/>
        <w:t>Responsibility</w:t>
      </w:r>
    </w:p>
    <w:p>
      <w:pPr>
        <w:pStyle w:val="normindent"/>
        <w:numPr>
          <w:ilvl w:val="0"/>
          <w:numId w:val="0"/>
        </w:numPr>
        <w:tabs>
          <w:tab w:val="left" w:pos="360" w:leader="none"/>
          <w:tab w:val="left" w:pos="720" w:leader="none"/>
          <w:tab w:val="left" w:pos="9360" w:leader="none"/>
        </w:tabs>
        <w:ind w:hanging="0" w:start="357" w:end="0"/>
        <w:rPr/>
      </w:pPr>
      <w:r>
        <w:rPr/>
        <w:t>UBSWE Collateral Management is responsible for the day-to-day operation of collateral accounts, including daily marking to market, margin calls, and reporting to UBSW Global Collateral Management (GCM) – see 6 below.</w:t>
      </w:r>
    </w:p>
    <w:p>
      <w:pPr>
        <w:pStyle w:val="Heading3"/>
        <w:rPr/>
      </w:pPr>
      <w:r>
        <w:rPr/>
        <w:t>6.2</w:t>
        <w:tab/>
        <w:t>Acceptable Collateral</w:t>
      </w:r>
    </w:p>
    <w:p>
      <w:pPr>
        <w:pStyle w:val="normindent"/>
        <w:rPr/>
      </w:pPr>
      <w:r>
        <w:rPr/>
        <w:t xml:space="preserve">USD cash and Letters of Credit issued by banks rated C3 or better are generally the only acceptable forms of collateral for energy trading.  However, the Regional Head of UBSW GCM may approve U.S. Government Bonds on an exceptional basis. </w:t>
      </w:r>
    </w:p>
    <w:p>
      <w:pPr>
        <w:pStyle w:val="Heading2"/>
        <w:numPr>
          <w:ilvl w:val="0"/>
          <w:numId w:val="9"/>
        </w:numPr>
        <w:rPr/>
      </w:pPr>
      <w:r>
        <w:rPr/>
        <w:t>Market Risk Control</w:t>
      </w:r>
    </w:p>
    <w:p>
      <w:pPr>
        <w:pStyle w:val="Heading3"/>
        <w:rPr/>
      </w:pPr>
      <w:r>
        <w:rPr/>
        <w:t>7.1</w:t>
        <w:tab/>
        <w:t>Standard Market Risk Limits</w:t>
      </w:r>
    </w:p>
    <w:p>
      <w:pPr>
        <w:pStyle w:val="normindent"/>
        <w:rPr/>
      </w:pPr>
      <w:r>
        <w:rPr/>
        <w:t>UBSWE will be subject to the same market risk limit structure as the rest of UBSW including Stress, VaR, and Risk Factor controls although full implementation of all required MIS is not yet completed.</w:t>
      </w:r>
      <w:r>
        <w:rPr>
          <w:rStyle w:val="FootnoteCharacters"/>
          <w:rStyle w:val="FootnoteReference"/>
        </w:rPr>
        <w:footnoteReference w:id="2"/>
      </w:r>
    </w:p>
    <w:p>
      <w:pPr>
        <w:pStyle w:val="normindent"/>
        <w:rPr/>
      </w:pPr>
      <w:r>
        <w:rPr/>
        <w:t xml:space="preserve">As part of UBSW's trading book, UBSWE will be incorporated into the UBSW stress scenarios to which the UBSW Stress Limit is applied.  </w:t>
      </w:r>
    </w:p>
    <w:p>
      <w:pPr>
        <w:pStyle w:val="normindent"/>
        <w:rPr/>
      </w:pPr>
      <w:r>
        <w:rPr/>
        <w:t>The initial VaR Limit for energy trading is CHF 100 million.</w:t>
      </w:r>
      <w:r>
        <w:rPr>
          <w:color w:val="000000"/>
        </w:rPr>
        <w:t xml:space="preserve">  </w:t>
      </w:r>
      <w:r>
        <w:rPr/>
        <w:t>The VaR limit may be increased to CHF 150 million with the approval of the UBS Warburg CRO and the Co-Head of CFIC and to CHF 250 million with the approval of the UBS Group CRO and the UBS Warburg CEO.</w:t>
      </w:r>
    </w:p>
    <w:p>
      <w:pPr>
        <w:pStyle w:val="normindent"/>
        <w:rPr/>
      </w:pPr>
      <w:r>
        <w:rPr/>
        <w:t>Initially, the normal maximum Risk Factor tenor limit is four years for all products.  (This maximum may be increased up to a maximum of seven years with the approval of the UBS Warburg CRO.)  On a transaction-by-transaction basis, approval is required from the Regional CRO or Product CRO or UBS Warburg CRO to exceed the tenor limit.  In addition to the Risk Factor tenor limits, counterparty risk tenor limits will also apply (see 4.3 above) and the shorter of the two will be the applicable maximum transaction tenor.</w:t>
      </w:r>
    </w:p>
    <w:p>
      <w:pPr>
        <w:pStyle w:val="normindent"/>
        <w:rPr/>
      </w:pPr>
      <w:r>
        <w:rPr/>
        <w:t>Excesses over any market risk limits require approval by the Business Area Head or Trading Head and the UBS Warburg CRO, Regional CRO or Product CRO.</w:t>
      </w:r>
    </w:p>
    <w:p>
      <w:pPr>
        <w:pStyle w:val="Heading3"/>
        <w:rPr/>
      </w:pPr>
      <w:r>
        <w:rPr/>
        <w:t>7.2</w:t>
        <w:tab/>
        <w:t>Operational Limits</w:t>
      </w:r>
    </w:p>
    <w:p>
      <w:pPr>
        <w:pStyle w:val="normindent"/>
        <w:rPr/>
      </w:pPr>
      <w:r>
        <w:rPr/>
        <w:t>Operational Limits should be set for any material risk which may not be appropriately captured or measured using the limits discussed in section 7.1 above.  They may be set for any specific market risk by MRC with the agreement of the relevant Business Area Head, or by the UBS Warburg Risk Management Committee.</w:t>
      </w:r>
    </w:p>
    <w:p>
      <w:pPr>
        <w:pStyle w:val="normindent"/>
        <w:rPr/>
      </w:pPr>
      <w:r>
        <w:rPr/>
        <w:t>Operational Limits do not override or supersede other limits, but rather complement and supplement them.</w:t>
      </w:r>
    </w:p>
    <w:p>
      <w:pPr>
        <w:pStyle w:val="normindent"/>
        <w:rPr/>
      </w:pPr>
      <w:r>
        <w:rPr/>
        <w:t>Excesses over any Operational Limits require approval by the Business Area Head or Trading Head and the UBS Warburg CRO, Regional CRO or Product Head of MRC.</w:t>
      </w:r>
    </w:p>
    <w:p>
      <w:pPr>
        <w:pStyle w:val="Heading2"/>
        <w:numPr>
          <w:ilvl w:val="0"/>
          <w:numId w:val="9"/>
        </w:numPr>
        <w:spacing w:before="120" w:after="240"/>
        <w:rPr/>
      </w:pPr>
      <w:r>
        <w:rPr/>
        <w:t>Monitoring and REporting</w:t>
      </w:r>
    </w:p>
    <w:p>
      <w:pPr>
        <w:pStyle w:val="Heading3"/>
        <w:rPr/>
      </w:pPr>
      <w:r>
        <w:rPr/>
        <w:t>8.1</w:t>
        <w:tab/>
        <w:t xml:space="preserve">CRC Responsibilities </w:t>
      </w:r>
    </w:p>
    <w:p>
      <w:pPr>
        <w:pStyle w:val="normindent"/>
        <w:rPr/>
      </w:pPr>
      <w:r>
        <w:rPr/>
        <w:t>On an end-of-day basis, UBSWE CRC must compile and disseminate to UBSW CRC via email, a counterparty limit utilisation report detailing all counterparty limits and current exposures downloaded from the CAS system.</w:t>
      </w:r>
    </w:p>
    <w:p>
      <w:pPr>
        <w:pStyle w:val="normindent"/>
        <w:rPr/>
      </w:pPr>
      <w:r>
        <w:rPr/>
        <w:t>It is the responsibility of the owner UBSW CO to review their counterparties' limits and exposures and determine appropriate action, if necessary.</w:t>
      </w:r>
    </w:p>
    <w:p>
      <w:pPr>
        <w:pStyle w:val="Heading3"/>
        <w:rPr/>
      </w:pPr>
      <w:r>
        <w:rPr/>
        <w:t>8.2</w:t>
        <w:tab/>
        <w:t xml:space="preserve">Collateral Management Responsibilities </w:t>
      </w:r>
    </w:p>
    <w:p>
      <w:pPr>
        <w:pStyle w:val="normindent"/>
        <w:rPr/>
      </w:pPr>
      <w:r>
        <w:rPr/>
        <w:t xml:space="preserve">On an end-of-day basis, UBSWE Collateral Management must compile and disseminate to UBSW GCM via email, a collateral report detailing all counterparty thresholds, current exposures downloaded from the CAS system, margin calls made, and collateral delivered.  </w:t>
      </w:r>
    </w:p>
    <w:p>
      <w:pPr>
        <w:pStyle w:val="normindent"/>
        <w:rPr/>
      </w:pPr>
      <w:r>
        <w:rPr/>
        <w:t>It is the responsibility of UBSW GCM to review the collateral report and inform UBSW CRC of any existing or potentially problematic situations.</w:t>
      </w:r>
    </w:p>
    <w:p>
      <w:pPr>
        <w:pStyle w:val="Heading3"/>
        <w:rPr/>
      </w:pPr>
      <w:r>
        <w:rPr/>
        <w:t>8.3</w:t>
        <w:tab/>
        <w:t>CRO Function Responsibilities</w:t>
      </w:r>
    </w:p>
    <w:p>
      <w:pPr>
        <w:pStyle w:val="normindent"/>
        <w:keepNext w:val="true"/>
        <w:spacing w:before="0" w:after="120"/>
        <w:rPr/>
      </w:pPr>
      <w:r>
        <w:rPr/>
        <w:t>On a daily basis, the CRO function is responsible for ensuring that:</w:t>
      </w:r>
    </w:p>
    <w:p>
      <w:pPr>
        <w:pStyle w:val="NIBullet"/>
        <w:keepNext w:val="true"/>
        <w:numPr>
          <w:ilvl w:val="0"/>
          <w:numId w:val="8"/>
        </w:numPr>
        <w:ind w:hanging="0" w:start="720"/>
        <w:rPr/>
      </w:pPr>
      <w:r>
        <w:rPr/>
        <w:t>one day and ten day VaR numbers are calculated and applied against the relevant VaR limits</w:t>
      </w:r>
      <w:r>
        <w:rPr>
          <w:rStyle w:val="EndnoteCharacters"/>
          <w:rStyle w:val="EndnoteReference"/>
        </w:rPr>
        <w:endnoteReference w:id="6"/>
      </w:r>
    </w:p>
    <w:p>
      <w:pPr>
        <w:pStyle w:val="NIBullet"/>
        <w:keepNext w:val="true"/>
        <w:numPr>
          <w:ilvl w:val="0"/>
          <w:numId w:val="8"/>
        </w:numPr>
        <w:ind w:hanging="0" w:start="720"/>
        <w:rPr/>
      </w:pPr>
      <w:r>
        <w:rPr/>
        <w:t>the market risk capital requirement is calculated</w:t>
      </w:r>
    </w:p>
    <w:p>
      <w:pPr>
        <w:pStyle w:val="NIBullet"/>
        <w:numPr>
          <w:ilvl w:val="0"/>
          <w:numId w:val="8"/>
        </w:numPr>
        <w:spacing w:before="0" w:after="240"/>
        <w:ind w:hanging="0" w:start="720"/>
        <w:rPr/>
      </w:pPr>
      <w:r>
        <w:rPr/>
        <w:t>back-testing is done.</w:t>
      </w:r>
    </w:p>
    <w:p>
      <w:pPr>
        <w:pStyle w:val="NIBullet"/>
        <w:numPr>
          <w:ilvl w:val="0"/>
          <w:numId w:val="0"/>
        </w:numPr>
        <w:spacing w:before="0" w:after="240"/>
        <w:ind w:hanging="360" w:start="720" w:end="0"/>
        <w:rPr/>
      </w:pPr>
      <w:r>
        <w:rPr/>
      </w:r>
    </w:p>
    <w:p>
      <w:pPr>
        <w:pStyle w:val="NIBullet"/>
        <w:numPr>
          <w:ilvl w:val="0"/>
          <w:numId w:val="0"/>
        </w:numPr>
        <w:spacing w:before="0" w:after="240"/>
        <w:ind w:hanging="360" w:start="720" w:end="0"/>
        <w:rPr/>
      </w:pPr>
      <w:r>
        <w:rPr/>
      </w:r>
    </w:p>
    <w:p>
      <w:pPr>
        <w:pStyle w:val="NIBullet"/>
        <w:numPr>
          <w:ilvl w:val="0"/>
          <w:numId w:val="0"/>
        </w:numPr>
        <w:spacing w:before="0" w:after="0"/>
        <w:ind w:hanging="360" w:start="720" w:end="0"/>
        <w:jc w:val="center"/>
        <w:rPr>
          <w:b/>
        </w:rPr>
      </w:pPr>
      <w:r>
        <w:rPr>
          <w:b/>
        </w:rPr>
        <w:t>The UBS Warburg Risk Policies can be found at the Risk Policy Group homepage</w:t>
      </w:r>
    </w:p>
    <w:p>
      <w:pPr>
        <w:pStyle w:val="NIBullet"/>
        <w:numPr>
          <w:ilvl w:val="0"/>
          <w:numId w:val="0"/>
        </w:numPr>
        <w:spacing w:before="0" w:after="0"/>
        <w:ind w:hanging="360" w:start="720" w:end="0"/>
        <w:jc w:val="center"/>
        <w:rPr>
          <w:b/>
        </w:rPr>
      </w:pPr>
      <w:r>
        <w:rPr>
          <w:b/>
        </w:rPr>
        <w:t>http://bw.temp.ubs.com/page/0/58/0,1080,1558-0-1-0,00.shtml</w:t>
      </w:r>
    </w:p>
    <w:sectPr>
      <w:headerReference w:type="default" r:id="rId2"/>
      <w:headerReference w:type="first" r:id="rId3"/>
      <w:footerReference w:type="default" r:id="rId4"/>
      <w:footerReference w:type="first" r:id="rId5"/>
      <w:footnotePr>
        <w:pos w:val="sectEnd"/>
        <w:numFmt w:val="decimal"/>
      </w:footnotePr>
      <w:endnotePr>
        <w:pos w:val="sectEnd"/>
        <w:numFmt w:val="lowerRoman"/>
      </w:endnotePr>
      <w:type w:val="nextPage"/>
      <w:pgSz w:w="11906" w:h="16838"/>
      <w:pgMar w:left="1440" w:right="1440" w:gutter="0" w:header="706" w:top="1440" w:footer="706" w:bottom="1440"/>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tabs>
          <w:tab w:val="clear" w:pos="720"/>
          <w:tab w:val="left" w:pos="360" w:leader="none"/>
        </w:tabs>
        <w:spacing w:before="0" w:after="240"/>
        <w:rPr/>
      </w:pPr>
      <w:r>
        <w:rPr>
          <w:rStyle w:val="EndnoteCharacters"/>
        </w:rPr>
        <w:endnoteRef/>
      </w:r>
      <w:r>
        <w:rPr/>
        <w:t xml:space="preserve"> </w:t>
      </w:r>
      <w:r>
        <w:rPr/>
        <w:tab/>
        <w:t>Refer to the UBS Warburg Discipline and Sanctions policy, GCP 010-003.</w:t>
      </w:r>
    </w:p>
  </w:endnote>
  <w:endnote w:id="3">
    <w:p>
      <w:pPr>
        <w:pStyle w:val="EndnoteText"/>
        <w:tabs>
          <w:tab w:val="clear" w:pos="720"/>
          <w:tab w:val="left" w:pos="360" w:leader="none"/>
        </w:tabs>
        <w:spacing w:before="0" w:after="240"/>
        <w:rPr/>
      </w:pPr>
      <w:r>
        <w:rPr>
          <w:rStyle w:val="EndnoteCharacters"/>
        </w:rPr>
        <w:endnoteRef/>
      </w:r>
      <w:r>
        <w:rPr/>
        <w:t xml:space="preserve"> </w:t>
      </w:r>
      <w:r>
        <w:rPr/>
        <w:tab/>
        <w:t>Refer to the UBS Warburg Transactions Requiring Pre-Approval policy, GMCP 010-002.</w:t>
      </w:r>
    </w:p>
  </w:endnote>
  <w:endnote w:id="4">
    <w:p>
      <w:pPr>
        <w:pStyle w:val="EndnoteText"/>
        <w:tabs>
          <w:tab w:val="clear" w:pos="720"/>
          <w:tab w:val="left" w:pos="360" w:leader="none"/>
        </w:tabs>
        <w:spacing w:before="0" w:after="240"/>
        <w:rPr/>
      </w:pPr>
      <w:r>
        <w:rPr>
          <w:rStyle w:val="EndnoteCharacters"/>
        </w:rPr>
        <w:endnoteRef/>
      </w:r>
      <w:r>
        <w:rPr/>
        <w:t xml:space="preserve"> </w:t>
      </w:r>
      <w:r>
        <w:rPr/>
        <w:tab/>
        <w:t>Refer to the UBS Warburg New Business Policy, GMCP 010-001.</w:t>
      </w:r>
    </w:p>
  </w:endnote>
  <w:endnote w:id="5">
    <w:p>
      <w:pPr>
        <w:pStyle w:val="EndnoteText"/>
        <w:tabs>
          <w:tab w:val="clear" w:pos="720"/>
          <w:tab w:val="left" w:pos="360" w:leader="none"/>
        </w:tabs>
        <w:spacing w:before="0" w:after="240"/>
        <w:rPr/>
      </w:pPr>
      <w:r>
        <w:rPr>
          <w:rStyle w:val="EndnoteCharacters"/>
        </w:rPr>
        <w:endnoteRef/>
      </w:r>
      <w:r>
        <w:rPr/>
        <w:t xml:space="preserve"> </w:t>
      </w:r>
      <w:r>
        <w:rPr/>
        <w:tab/>
        <w:t>Refer to the UBS Warburg Documentation for Trading Activities policy, GCP 059-001.</w:t>
      </w:r>
    </w:p>
  </w:endnote>
  <w:endnote w:id="6">
    <w:p>
      <w:pPr>
        <w:pStyle w:val="EndnoteText"/>
        <w:tabs>
          <w:tab w:val="clear" w:pos="720"/>
          <w:tab w:val="left" w:pos="360" w:leader="none"/>
        </w:tabs>
        <w:spacing w:before="0" w:after="240"/>
        <w:ind w:hanging="360" w:start="360" w:end="0"/>
        <w:rPr/>
      </w:pPr>
      <w:r>
        <w:rPr>
          <w:rStyle w:val="EndnoteCharacters"/>
        </w:rPr>
        <w:endnoteRef/>
      </w:r>
      <w:r>
        <w:rPr/>
        <w:t xml:space="preserve"> </w:t>
      </w:r>
      <w:r>
        <w:rPr/>
        <w:tab/>
        <w:t>Refer to the UBS Warburg Value at Risk policy, GMP 030-002, and the UBS Group Value at Risk Policy.</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
    <w:altName w:val="Arial"/>
    <w:charset w:val="00" w:characterSet="windows-1252"/>
    <w:family w:val="swiss"/>
    <w:pitch w:val="variable"/>
  </w:font>
  <w:font w:name="New York">
    <w:charset w:val="00" w:characterSet="windows-1252"/>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pBdr>
        <w:top w:val="single" w:sz="6" w:space="6" w:color="000000"/>
      </w:pBdr>
      <w:spacing w:before="0" w:after="240"/>
      <w:rPr/>
    </w:pPr>
    <w:r>
      <w:rPr/>
      <w:t>Version date:  6 February 2002</w:t>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tab/>
      <w:t>Group CCO and Group CRO approval date:  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pBdr>
        <w:top w:val="single" w:sz="6" w:space="6" w:color="000000"/>
      </w:pBdr>
      <w:spacing w:before="0" w:after="240"/>
      <w:rPr/>
    </w:pPr>
    <w:r>
      <w:rPr/>
      <w:t>Version date:  6 February 2002</w:t>
      <w:tab/>
      <w:tab/>
      <w:t>Group CCO and Group CRO approval date:  __</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before="0" w:after="120"/>
        <w:ind w:hanging="360" w:start="360" w:end="0"/>
        <w:rPr/>
      </w:pPr>
      <w:r>
        <w:rPr>
          <w:rStyle w:val="FootnoteCharacters"/>
        </w:rPr>
        <w:footnoteRef/>
      </w:r>
      <w:r>
        <w:rPr/>
        <w:t xml:space="preserve"> </w:t>
      </w:r>
      <w:r>
        <w:rPr/>
        <w:tab/>
        <w:t>Due by end of February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spacing w:before="0" w:after="240"/>
      <w:ind w:hanging="0" w:start="0"/>
      <w:rPr/>
    </w:pPr>
    <w:r>
      <w:rPr/>
      <w:t>UBS WARBURG</w:t>
      <w:tab/>
      <w:t>GMCP XXX-XXX</w:t>
    </w:r>
    <w:r>
      <w:rPr>
        <w:b/>
        <w:lang w:val="en-US"/>
      </w:rPr>
      <w:br/>
    </w:r>
    <w:r>
      <w:rPr>
        <w:i/>
        <w:lang w:val="en-US"/>
      </w:rPr>
      <w:t>Status:  Draft</w:t>
    </w:r>
    <w:r>
      <w:rPr/>
      <w:tab/>
      <w:t>Energy Trading – Day One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spacing w:before="0" w:after="240"/>
      <w:ind w:hanging="0" w:start="0"/>
      <w:rPr/>
    </w:pPr>
    <w:r>
      <w:rPr/>
      <w:t>UBS WARBURG</w:t>
      <w:tab/>
    </w:r>
    <w:r>
      <w:rPr>
        <w:b/>
        <w:lang w:val="en-US"/>
      </w:rPr>
      <w:t>Global Market and Credit Risk Policy XXX-XXX</w:t>
      <w:br/>
    </w:r>
    <w:r>
      <w:rPr>
        <w:i/>
        <w:lang w:val="en-US"/>
      </w:rPr>
      <w:t>Status: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1080"/>
        </w:tabs>
        <w:ind w:start="1080" w:hanging="360"/>
      </w:pPr>
      <w:rPr>
        <w:rFonts w:ascii="Symbol" w:hAnsi="Symbol" w:cs="Symbol" w:hint="default"/>
        <w:sz w:val="16"/>
      </w:rPr>
    </w:lvl>
  </w:abstractNum>
  <w:abstractNum w:abstractNumId="5">
    <w:lvl w:ilvl="0">
      <w:start w:val="1"/>
      <w:numFmt w:val="bullet"/>
      <w:lvlText w:val=""/>
      <w:lvlJc w:val="start"/>
      <w:pPr>
        <w:tabs>
          <w:tab w:val="num" w:pos="737"/>
        </w:tabs>
        <w:ind w:start="737" w:hanging="377"/>
      </w:pPr>
      <w:rPr>
        <w:rFonts w:ascii="Symbol" w:hAnsi="Symbol" w:cs="Symbol" w:hint="default"/>
        <w:sz w:val="22"/>
      </w:rPr>
    </w:lvl>
  </w:abstractNum>
  <w:abstractNum w:abstractNumId="6">
    <w:lvl w:ilvl="0">
      <w:start w:val="3"/>
      <w:numFmt w:val="decimal"/>
      <w:lvlText w:val="%1"/>
      <w:lvlJc w:val="start"/>
      <w:pPr>
        <w:tabs>
          <w:tab w:val="num" w:pos="360"/>
        </w:tabs>
        <w:ind w:start="360" w:hanging="360"/>
      </w:pPr>
      <w:rPr/>
    </w:lvl>
  </w:abstractNum>
  <w:abstractNum w:abstractNumId="7">
    <w:lvl w:ilvl="0">
      <w:start w:val="1"/>
      <w:numFmt w:val="bullet"/>
      <w:lvlText w:val="-"/>
      <w:lvlJc w:val="start"/>
      <w:pPr>
        <w:tabs>
          <w:tab w:val="num" w:pos="1080"/>
        </w:tabs>
        <w:ind w:start="1080" w:hanging="360"/>
      </w:pPr>
      <w:rPr>
        <w:rFonts w:ascii="Symbol" w:hAnsi="Symbol" w:cs="Symbol" w:hint="default"/>
        <w:sz w:val="22"/>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6"/>
      <w:numFmt w:val="decimal"/>
      <w:lvlText w:val="%1"/>
      <w:lvlJc w:val="start"/>
      <w:pPr>
        <w:tabs>
          <w:tab w:val="num" w:pos="360"/>
        </w:tabs>
        <w:ind w:start="360" w:hanging="360"/>
      </w:pPr>
      <w:rPr/>
    </w:lvl>
    <w:lvl w:ilvl="1">
      <w:start w:val="2"/>
      <w:isLgl/>
      <w:numFmt w:val="decimal"/>
      <w:lvlText w:val="%1.%2"/>
      <w:lvlJc w:val="start"/>
      <w:pPr>
        <w:tabs>
          <w:tab w:val="num" w:pos="717"/>
        </w:tabs>
        <w:ind w:start="717" w:hanging="360"/>
      </w:pPr>
      <w:rPr/>
    </w:lvl>
    <w:lvl w:ilvl="2">
      <w:start w:val="1"/>
      <w:isLgl/>
      <w:numFmt w:val="decimal"/>
      <w:lvlText w:val="%1.%2.%3"/>
      <w:lvlJc w:val="start"/>
      <w:pPr>
        <w:tabs>
          <w:tab w:val="num" w:pos="1434"/>
        </w:tabs>
        <w:ind w:start="1434" w:hanging="720"/>
      </w:pPr>
      <w:rPr/>
    </w:lvl>
    <w:lvl w:ilvl="3">
      <w:start w:val="1"/>
      <w:isLgl/>
      <w:numFmt w:val="decimal"/>
      <w:lvlText w:val="%1.%2.%3.%4"/>
      <w:lvlJc w:val="start"/>
      <w:pPr>
        <w:tabs>
          <w:tab w:val="num" w:pos="1791"/>
        </w:tabs>
        <w:ind w:start="1791" w:hanging="720"/>
      </w:pPr>
      <w:rPr/>
    </w:lvl>
    <w:lvl w:ilvl="4">
      <w:start w:val="1"/>
      <w:isLgl/>
      <w:numFmt w:val="decimal"/>
      <w:lvlText w:val="%1.%2.%3.%4.%5"/>
      <w:lvlJc w:val="start"/>
      <w:pPr>
        <w:tabs>
          <w:tab w:val="num" w:pos="2508"/>
        </w:tabs>
        <w:ind w:start="2508" w:hanging="1080"/>
      </w:pPr>
      <w:rPr/>
    </w:lvl>
    <w:lvl w:ilvl="5">
      <w:start w:val="1"/>
      <w:isLgl/>
      <w:numFmt w:val="decimal"/>
      <w:lvlText w:val="%1.%2.%3.%4.%5.%6"/>
      <w:lvlJc w:val="start"/>
      <w:pPr>
        <w:tabs>
          <w:tab w:val="num" w:pos="2865"/>
        </w:tabs>
        <w:ind w:start="2865" w:hanging="1080"/>
      </w:pPr>
      <w:rPr/>
    </w:lvl>
    <w:lvl w:ilvl="6">
      <w:start w:val="1"/>
      <w:isLgl/>
      <w:numFmt w:val="decimal"/>
      <w:lvlText w:val="%1.%2.%3.%4.%5.%6.%7"/>
      <w:lvlJc w:val="start"/>
      <w:pPr>
        <w:tabs>
          <w:tab w:val="num" w:pos="3582"/>
        </w:tabs>
        <w:ind w:start="3582" w:hanging="1440"/>
      </w:pPr>
      <w:rPr/>
    </w:lvl>
    <w:lvl w:ilvl="7">
      <w:start w:val="1"/>
      <w:isLgl/>
      <w:numFmt w:val="decimal"/>
      <w:lvlText w:val="%1.%2.%3.%4.%5.%6.%7.%8"/>
      <w:lvlJc w:val="start"/>
      <w:pPr>
        <w:tabs>
          <w:tab w:val="num" w:pos="3939"/>
        </w:tabs>
        <w:ind w:start="3939" w:hanging="1440"/>
      </w:pPr>
      <w:rPr/>
    </w:lvl>
    <w:lvl w:ilvl="8">
      <w:start w:val="1"/>
      <w:isLgl/>
      <w:numFmt w:val="decimal"/>
      <w:lvlText w:val="%1.%2.%3.%4.%5.%6.%7.%8.%9"/>
      <w:lvlJc w:val="start"/>
      <w:pPr>
        <w:tabs>
          <w:tab w:val="num" w:pos="4296"/>
        </w:tabs>
        <w:ind w:start="4296" w:hanging="1440"/>
      </w:pPr>
      <w:rPr/>
    </w:lvl>
  </w:abstractNum>
  <w:abstractNum w:abstractNumId="10">
    <w:lvl w:ilvl="0">
      <w:start w:val="1"/>
      <w:numFmt w:val="lowerRoman"/>
      <w:lvlText w:val="%1."/>
      <w:lvlJc w:val="start"/>
      <w:pPr>
        <w:tabs>
          <w:tab w:val="num" w:pos="720"/>
        </w:tabs>
        <w:ind w:start="360" w:hanging="360"/>
      </w:pPr>
    </w:lvl>
  </w:abstractNum>
  <w:abstractNum w:abstractNumId="11">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pos w:val="sectEnd"/>
    <w:numFmt w:val="decimal"/>
    <w:footnote w:id="0"/>
    <w:footnote w:id="1"/>
  </w:footnotePr>
  <w:endnotePr>
    <w:pos w:val="sectEnd"/>
    <w:numFmt w:val="lowerRoman"/>
    <w:endnote w:id="0"/>
    <w:endnote w:id="1"/>
  </w:end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Heading2"/>
    <w:qFormat/>
    <w:pPr>
      <w:keepNext w:val="true"/>
      <w:keepLines/>
      <w:numPr>
        <w:ilvl w:val="0"/>
        <w:numId w:val="1"/>
      </w:numPr>
      <w:tabs>
        <w:tab w:val="left" w:pos="360" w:leader="none"/>
        <w:tab w:val="left" w:pos="720" w:leader="none"/>
      </w:tabs>
      <w:spacing w:lineRule="auto" w:line="300" w:before="0" w:after="120"/>
      <w:jc w:val="center"/>
      <w:outlineLvl w:val="0"/>
    </w:pPr>
    <w:rPr>
      <w:b/>
      <w:caps/>
      <w:kern w:val="2"/>
      <w:sz w:val="24"/>
    </w:rPr>
  </w:style>
  <w:style w:type="paragraph" w:styleId="Heading2">
    <w:name w:val="heading 2"/>
    <w:basedOn w:val="Normal"/>
    <w:next w:val="Heading3"/>
    <w:qFormat/>
    <w:pPr>
      <w:keepNext w:val="true"/>
      <w:keepLines/>
      <w:numPr>
        <w:ilvl w:val="1"/>
        <w:numId w:val="1"/>
      </w:numPr>
      <w:tabs>
        <w:tab w:val="left" w:pos="360" w:leader="none"/>
        <w:tab w:val="left" w:pos="720" w:leader="none"/>
      </w:tabs>
      <w:spacing w:before="120" w:after="120"/>
      <w:ind w:hanging="360" w:start="360" w:end="0"/>
      <w:outlineLvl w:val="1"/>
    </w:pPr>
    <w:rPr>
      <w:b/>
      <w:caps/>
      <w:sz w:val="22"/>
    </w:rPr>
  </w:style>
  <w:style w:type="paragraph" w:styleId="Heading3">
    <w:name w:val="heading 3"/>
    <w:basedOn w:val="Normal"/>
    <w:next w:val="NormalIndent"/>
    <w:qFormat/>
    <w:pPr>
      <w:keepNext w:val="true"/>
      <w:keepLines/>
      <w:numPr>
        <w:ilvl w:val="2"/>
        <w:numId w:val="1"/>
      </w:numPr>
      <w:tabs>
        <w:tab w:val="left" w:pos="360" w:leader="none"/>
        <w:tab w:val="left" w:pos="720" w:leader="none"/>
      </w:tabs>
      <w:spacing w:before="0" w:after="240"/>
      <w:ind w:hanging="360" w:start="360" w:end="0"/>
      <w:outlineLvl w:val="2"/>
    </w:pPr>
    <w:rPr>
      <w:b/>
      <w:smallCaps/>
      <w:sz w:val="22"/>
    </w:rPr>
  </w:style>
  <w:style w:type="paragraph" w:styleId="Heading5">
    <w:name w:val="heading 5"/>
    <w:basedOn w:val="Normal"/>
    <w:next w:val="Normal"/>
    <w:qFormat/>
    <w:pPr>
      <w:keepNext w:val="true"/>
      <w:keepLines/>
      <w:numPr>
        <w:ilvl w:val="4"/>
        <w:numId w:val="1"/>
      </w:numPr>
      <w:tabs>
        <w:tab w:val="left" w:pos="360" w:leader="none"/>
        <w:tab w:val="left" w:pos="720" w:leader="none"/>
      </w:tabs>
      <w:spacing w:before="0" w:after="120"/>
      <w:ind w:hanging="0" w:start="360" w:end="0"/>
      <w:outlineLvl w:val="4"/>
    </w:pPr>
    <w:rPr>
      <w:smallCaps/>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sz w:val="22"/>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sz w:val="22"/>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u w:val="single"/>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u w:val="single"/>
    </w:rPr>
  </w:style>
  <w:style w:type="character" w:styleId="WW8Num32z0">
    <w:name w:val="WW8Num32z0"/>
    <w:qFormat/>
    <w:rPr>
      <w:rFonts w:ascii="Symbol" w:hAnsi="Symbol" w:cs="Symbol"/>
      <w:color w:val="auto"/>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rPr>
  </w:style>
  <w:style w:type="character" w:styleId="WW8Num47z0">
    <w:name w:val="WW8Num47z0"/>
    <w:qFormat/>
    <w:rPr>
      <w:b/>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sz w:val="22"/>
    </w:rPr>
  </w:style>
  <w:style w:type="character" w:styleId="WW8Num60z0">
    <w:name w:val="WW8Num60z0"/>
    <w:qFormat/>
    <w:rPr>
      <w:rFonts w:ascii="Symbol" w:hAnsi="Symbol" w:cs="Symbol"/>
      <w:sz w:val="22"/>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sz w:val="22"/>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rPr>
  </w:style>
  <w:style w:type="character" w:styleId="WW8Num71z0">
    <w:name w:val="WW8Num71z0"/>
    <w:qFormat/>
    <w:rPr>
      <w:sz w:val="22"/>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sz w:val="16"/>
    </w:rPr>
  </w:style>
  <w:style w:type="character" w:styleId="WW8Num81z0">
    <w:name w:val="WW8Num81z0"/>
    <w:qFormat/>
    <w:rPr>
      <w:rFonts w:ascii="Symbol" w:hAnsi="Symbol" w:cs="Symbol"/>
      <w:sz w:val="22"/>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sz w:val="22"/>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rFonts w:ascii="Symbol" w:hAnsi="Symbol" w:cs="Symbol"/>
      <w:sz w:val="22"/>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color w:val="auto"/>
    </w:rPr>
  </w:style>
  <w:style w:type="character" w:styleId="WW8Num100z0">
    <w:name w:val="WW8Num100z0"/>
    <w:qFormat/>
    <w:rPr>
      <w:rFonts w:ascii="Symbol" w:hAnsi="Symbol" w:cs="Symbol"/>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10z0">
    <w:name w:val="WW8Num110z0"/>
    <w:qFormat/>
    <w:rPr>
      <w:rFonts w:ascii="Times New Roman" w:hAnsi="Times New Roman" w:cs="Times New Roman"/>
    </w:rPr>
  </w:style>
  <w:style w:type="character" w:styleId="WW8Num111z0">
    <w:name w:val="WW8Num111z0"/>
    <w:qFormat/>
    <w:rPr>
      <w:rFonts w:ascii="Times New Roman" w:hAnsi="Times New Roman" w:cs="Times New Roman"/>
    </w:rPr>
  </w:style>
  <w:style w:type="character" w:styleId="WW8Num112z0">
    <w:name w:val="WW8Num112z0"/>
    <w:qFormat/>
    <w:rPr>
      <w:rFonts w:ascii="Symbol" w:hAnsi="Symbol" w:cs="Symbol"/>
      <w:sz w:val="22"/>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z w:val="20"/>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sz w:val="22"/>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rFonts w:ascii="Symbol" w:hAnsi="Symbol" w:cs="Symbol"/>
    </w:rPr>
  </w:style>
  <w:style w:type="character" w:styleId="WW8Num132z0">
    <w:name w:val="WW8Num132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sz w:val="16"/>
    </w:rPr>
  </w:style>
  <w:style w:type="character" w:styleId="WW8Num136z0">
    <w:name w:val="WW8Num136z0"/>
    <w:qFormat/>
    <w:rPr>
      <w:rFonts w:ascii="Symbol" w:hAnsi="Symbol" w:cs="Symbol"/>
    </w:rPr>
  </w:style>
  <w:style w:type="character" w:styleId="WW8Num137z0">
    <w:name w:val="WW8Num137z0"/>
    <w:qFormat/>
    <w:rPr>
      <w:rFonts w:ascii="Symbol" w:hAnsi="Symbol" w:cs="Symbol"/>
      <w:color w:val="auto"/>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2z0">
    <w:name w:val="WW8Num142z0"/>
    <w:qFormat/>
    <w:rPr>
      <w:rFonts w:ascii="Symbol" w:hAnsi="Symbol" w:cs="Symbol"/>
      <w:color w:val="auto"/>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u w:val="single"/>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rFonts w:ascii="Symbol" w:hAnsi="Symbol" w:cs="Symbol"/>
      <w:color w:val="auto"/>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rPr>
  </w:style>
  <w:style w:type="character" w:styleId="WW8Num166z0">
    <w:name w:val="WW8Num166z0"/>
    <w:qFormat/>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color w:val="auto"/>
    </w:rPr>
  </w:style>
  <w:style w:type="character" w:styleId="WW8Num169z0">
    <w:name w:val="WW8Num169z0"/>
    <w:qFormat/>
    <w:rPr>
      <w:rFonts w:ascii="Symbol" w:hAnsi="Symbol" w:cs="Symbol"/>
      <w:color w:val="auto"/>
    </w:rPr>
  </w:style>
  <w:style w:type="character" w:styleId="WW8Num170z0">
    <w:name w:val="WW8Num170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sz w:val="22"/>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rFonts w:ascii="Symbol" w:hAnsi="Symbol" w:cs="Symbol"/>
      <w:color w:val="auto"/>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style>
  <w:style w:type="character" w:styleId="WW8Num188z0">
    <w:name w:val="WW8Num188z0"/>
    <w:qFormat/>
    <w:rPr>
      <w:rFonts w:ascii="Symbol" w:hAnsi="Symbol" w:cs="Symbol"/>
    </w:rPr>
  </w:style>
  <w:style w:type="character" w:styleId="WW8Num190z0">
    <w:name w:val="WW8Num190z0"/>
    <w:qFormat/>
    <w:rPr>
      <w:rFonts w:ascii="Symbol" w:hAnsi="Symbol" w:cs="Symbol"/>
      <w:color w:val="auto"/>
    </w:rPr>
  </w:style>
  <w:style w:type="character" w:styleId="WW8Num191z0">
    <w:name w:val="WW8Num191z0"/>
    <w:qFormat/>
    <w:rPr>
      <w:rFonts w:ascii="Symbol" w:hAnsi="Symbol" w:cs="Symbol"/>
    </w:rPr>
  </w:style>
  <w:style w:type="character" w:styleId="WW8Num192z0">
    <w:name w:val="WW8Num192z0"/>
    <w:qFormat/>
    <w:rPr>
      <w:rFonts w:ascii="Symbol" w:hAnsi="Symbol" w:cs="Symbol"/>
      <w:color w:val="auto"/>
    </w:rPr>
  </w:style>
  <w:style w:type="character" w:styleId="WW8Num193z0">
    <w:name w:val="WW8Num193z0"/>
    <w:qFormat/>
    <w:rPr>
      <w:rFonts w:ascii="Wingdings" w:hAnsi="Wingdings" w:cs="Wingdings"/>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color w:val="auto"/>
    </w:rPr>
  </w:style>
  <w:style w:type="character" w:styleId="WW8Num198z0">
    <w:name w:val="WW8Num198z0"/>
    <w:qFormat/>
    <w:rPr>
      <w:rFonts w:ascii="Symbol" w:hAnsi="Symbol" w:cs="Symbol"/>
      <w:sz w:val="22"/>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6z0">
    <w:name w:val="WW8Num206z0"/>
    <w:qFormat/>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sz w:val="16"/>
    </w:rPr>
  </w:style>
  <w:style w:type="character" w:styleId="WW8Num214z0">
    <w:name w:val="WW8Num214z0"/>
    <w:qFormat/>
    <w:rPr/>
  </w:style>
  <w:style w:type="character" w:styleId="WW8Num215z0">
    <w:name w:val="WW8Num215z0"/>
    <w:qFormat/>
    <w:rPr>
      <w:rFonts w:ascii="Wingdings" w:hAnsi="Wingdings" w:cs="Wingdings"/>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Times New Roman" w:hAnsi="Times New Roman" w:cs="Times New Roman"/>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Symbol" w:hAnsi="Symbol" w:cs="Symbol"/>
    </w:rPr>
  </w:style>
  <w:style w:type="character" w:styleId="WW8Num223z0">
    <w:name w:val="WW8Num223z0"/>
    <w:qFormat/>
    <w:rPr>
      <w:rFonts w:ascii="Symbol" w:hAnsi="Symbol" w:cs="Symbol"/>
      <w:color w:val="auto"/>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sz w:val="22"/>
    </w:rPr>
  </w:style>
  <w:style w:type="character" w:styleId="WW8Num229z0">
    <w:name w:val="WW8Num229z0"/>
    <w:qFormat/>
    <w:rPr>
      <w:rFonts w:ascii="Symbol" w:hAnsi="Symbol" w:cs="Symbol"/>
      <w:sz w:val="22"/>
    </w:rPr>
  </w:style>
  <w:style w:type="character" w:styleId="WW8Num230z0">
    <w:name w:val="WW8Num230z0"/>
    <w:qFormat/>
    <w:rPr>
      <w:rFonts w:ascii="Wingdings" w:hAnsi="Wingdings" w:cs="Wingdings"/>
    </w:rPr>
  </w:style>
  <w:style w:type="character" w:styleId="WW8Num231z0">
    <w:name w:val="WW8Num231z0"/>
    <w:qFormat/>
    <w:rPr/>
  </w:style>
  <w:style w:type="character" w:styleId="WW8Num232z0">
    <w:name w:val="WW8Num232z0"/>
    <w:qFormat/>
    <w:rPr>
      <w:rFonts w:ascii="Symbol" w:hAnsi="Symbol" w:cs="Symbol"/>
    </w:rPr>
  </w:style>
  <w:style w:type="character" w:styleId="WW8Num233z0">
    <w:name w:val="WW8Num233z0"/>
    <w:qFormat/>
    <w:rPr>
      <w:rFonts w:ascii="Symbol" w:hAnsi="Symbol" w:cs="Symbol"/>
      <w:sz w:val="22"/>
    </w:rPr>
  </w:style>
  <w:style w:type="character" w:styleId="WW8Num234z0">
    <w:name w:val="WW8Num234z0"/>
    <w:qFormat/>
    <w:rPr>
      <w:rFonts w:ascii="Symbol" w:hAnsi="Symbol" w:cs="Symbol"/>
      <w:sz w:val="22"/>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rFonts w:ascii="Symbol" w:hAnsi="Symbol" w:cs="Symbol"/>
      <w:sz w:val="22"/>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rFonts w:ascii="Symbol" w:hAnsi="Symbol" w:cs="Symbol"/>
      <w:sz w:val="22"/>
    </w:rPr>
  </w:style>
  <w:style w:type="character" w:styleId="WW8Num250z0">
    <w:name w:val="WW8Num250z0"/>
    <w:qFormat/>
    <w:rPr>
      <w:rFonts w:ascii="Symbol" w:hAnsi="Symbol" w:cs="Symbol"/>
    </w:rPr>
  </w:style>
  <w:style w:type="character" w:styleId="WW8Num251z0">
    <w:name w:val="WW8Num251z0"/>
    <w:qFormat/>
    <w:rPr>
      <w:rFonts w:ascii="Symbol" w:hAnsi="Symbol" w:cs="Symbol"/>
      <w:sz w:val="22"/>
    </w:rPr>
  </w:style>
  <w:style w:type="character" w:styleId="WW8Num252z0">
    <w:name w:val="WW8Num252z0"/>
    <w:qFormat/>
    <w:rPr/>
  </w:style>
  <w:style w:type="character" w:styleId="WW8Num254z0">
    <w:name w:val="WW8Num254z0"/>
    <w:qFormat/>
    <w:rPr>
      <w:rFonts w:ascii="Symbol" w:hAnsi="Symbol" w:cs="Symbol"/>
    </w:rPr>
  </w:style>
  <w:style w:type="character" w:styleId="WW8Num255z0">
    <w:name w:val="WW8Num255z0"/>
    <w:qFormat/>
    <w:rPr>
      <w:rFonts w:ascii="Symbol" w:hAnsi="Symbol" w:cs="Symbol"/>
      <w:color w:val="auto"/>
    </w:rPr>
  </w:style>
  <w:style w:type="character" w:styleId="WW8Num256z0">
    <w:name w:val="WW8Num256z0"/>
    <w:qFormat/>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color w:val="auto"/>
    </w:rPr>
  </w:style>
  <w:style w:type="character" w:styleId="WW8Num260z0">
    <w:name w:val="WW8Num260z0"/>
    <w:qFormat/>
    <w:rPr>
      <w:rFonts w:ascii="Symbol" w:hAnsi="Symbol" w:cs="Symbol"/>
      <w:color w:val="auto"/>
    </w:rPr>
  </w:style>
  <w:style w:type="character" w:styleId="WW8Num261z0">
    <w:name w:val="WW8Num261z0"/>
    <w:qFormat/>
    <w:rPr>
      <w:rFonts w:ascii="Symbol" w:hAnsi="Symbol" w:cs="Symbol"/>
    </w:rPr>
  </w:style>
  <w:style w:type="character" w:styleId="WW8Num262z0">
    <w:name w:val="WW8Num262z0"/>
    <w:qFormat/>
    <w:rPr>
      <w:rFonts w:ascii="Symbol" w:hAnsi="Symbol" w:cs="Symbol"/>
      <w:color w:val="auto"/>
    </w:rPr>
  </w:style>
  <w:style w:type="character" w:styleId="WW8Num263z0">
    <w:name w:val="WW8Num263z0"/>
    <w:qFormat/>
    <w:rPr>
      <w:rFonts w:ascii="Symbol" w:hAnsi="Symbol" w:cs="Symbol"/>
    </w:rPr>
  </w:style>
  <w:style w:type="character" w:styleId="WW8Num267z0">
    <w:name w:val="WW8Num267z0"/>
    <w:qFormat/>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style>
  <w:style w:type="character" w:styleId="WW8Num272z0">
    <w:name w:val="WW8Num272z0"/>
    <w:qFormat/>
    <w:rPr/>
  </w:style>
  <w:style w:type="character" w:styleId="WW8Num274z0">
    <w:name w:val="WW8Num274z0"/>
    <w:qFormat/>
    <w:rPr>
      <w:rFonts w:ascii="Symbol" w:hAnsi="Symbol" w:cs="Symbol"/>
    </w:rPr>
  </w:style>
  <w:style w:type="character" w:styleId="WW8Num275z0">
    <w:name w:val="WW8Num275z0"/>
    <w:qFormat/>
    <w:rPr>
      <w:rFonts w:ascii="Symbol" w:hAnsi="Symbol" w:cs="Symbol"/>
      <w:color w:val="auto"/>
    </w:rPr>
  </w:style>
  <w:style w:type="character" w:styleId="WW8Num276z0">
    <w:name w:val="WW8Num276z0"/>
    <w:qFormat/>
    <w:rPr>
      <w:rFonts w:ascii="Symbol" w:hAnsi="Symbol" w:cs="Symbol"/>
      <w:color w:val="auto"/>
    </w:rPr>
  </w:style>
  <w:style w:type="character" w:styleId="WW8Num277z0">
    <w:name w:val="WW8Num277z0"/>
    <w:qFormat/>
    <w:rPr>
      <w:rFonts w:ascii="Symbol" w:hAnsi="Symbol" w:cs="Symbol"/>
    </w:rPr>
  </w:style>
  <w:style w:type="character" w:styleId="WW8Num278z0">
    <w:name w:val="WW8Num278z0"/>
    <w:qFormat/>
    <w:rPr>
      <w:rFonts w:ascii="Symbol" w:hAnsi="Symbol" w:cs="Symbol"/>
      <w:color w:val="auto"/>
    </w:rPr>
  </w:style>
  <w:style w:type="character" w:styleId="WW8Num279z0">
    <w:name w:val="WW8Num279z0"/>
    <w:qFormat/>
    <w:rPr>
      <w:rFonts w:ascii="Wingdings" w:hAnsi="Wingdings" w:cs="Wingdings"/>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style>
  <w:style w:type="character" w:styleId="WW8Num283z0">
    <w:name w:val="WW8Num283z0"/>
    <w:qFormat/>
    <w:rPr>
      <w:rFonts w:ascii="Symbol" w:hAnsi="Symbol" w:cs="Symbol"/>
      <w:sz w:val="22"/>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7z0">
    <w:name w:val="WW8Num287z0"/>
    <w:qFormat/>
    <w:rPr/>
  </w:style>
  <w:style w:type="character" w:styleId="WW8Num288z0">
    <w:name w:val="WW8Num288z0"/>
    <w:qFormat/>
    <w:rPr>
      <w:rFonts w:ascii="Symbol" w:hAnsi="Symbol" w:cs="Symbol"/>
      <w:sz w:val="22"/>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color w:val="auto"/>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color w:val="auto"/>
    </w:rPr>
  </w:style>
  <w:style w:type="character" w:styleId="WW8Num305z0">
    <w:name w:val="WW8Num305z0"/>
    <w:qFormat/>
    <w:rPr/>
  </w:style>
  <w:style w:type="character" w:styleId="WW8Num306z0">
    <w:name w:val="WW8Num306z0"/>
    <w:qFormat/>
    <w:rPr>
      <w:rFonts w:ascii="Symbol" w:hAnsi="Symbol" w:cs="Symbol"/>
      <w:color w:val="auto"/>
    </w:rPr>
  </w:style>
  <w:style w:type="character" w:styleId="WW8Num307z0">
    <w:name w:val="WW8Num307z0"/>
    <w:qFormat/>
    <w:rPr/>
  </w:style>
  <w:style w:type="character" w:styleId="WW8Num309z0">
    <w:name w:val="WW8Num309z0"/>
    <w:qFormat/>
    <w:rPr/>
  </w:style>
  <w:style w:type="character" w:styleId="WW8Num310z0">
    <w:name w:val="WW8Num310z0"/>
    <w:qFormat/>
    <w:rPr/>
  </w:style>
  <w:style w:type="character" w:styleId="WW8Num311z0">
    <w:name w:val="WW8Num311z0"/>
    <w:qFormat/>
    <w:rPr>
      <w:rFonts w:ascii="Symbol" w:hAnsi="Symbol" w:cs="Symbol"/>
    </w:rPr>
  </w:style>
  <w:style w:type="character" w:styleId="WW8Num312z0">
    <w:name w:val="WW8Num312z0"/>
    <w:qFormat/>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style>
  <w:style w:type="character" w:styleId="WW8Num316z0">
    <w:name w:val="WW8Num316z0"/>
    <w:qFormat/>
    <w:rPr>
      <w:rFonts w:ascii="Symbol" w:hAnsi="Symbol" w:cs="Symbol"/>
      <w:color w:val="auto"/>
    </w:rPr>
  </w:style>
  <w:style w:type="character" w:styleId="WW8Num317z0">
    <w:name w:val="WW8Num317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20z0">
    <w:name w:val="WW8Num320z0"/>
    <w:qFormat/>
    <w:rPr>
      <w:b/>
    </w:rPr>
  </w:style>
  <w:style w:type="character" w:styleId="WW8Num321z0">
    <w:name w:val="WW8Num321z0"/>
    <w:qFormat/>
    <w:rPr/>
  </w:style>
  <w:style w:type="character" w:styleId="WW8Num322z0">
    <w:name w:val="WW8Num322z0"/>
    <w:qFormat/>
    <w:rPr/>
  </w:style>
  <w:style w:type="character" w:styleId="WW8Num323z0">
    <w:name w:val="WW8Num323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sz w:val="22"/>
    </w:rPr>
  </w:style>
  <w:style w:type="character" w:styleId="WW8Num327z0">
    <w:name w:val="WW8Num327z0"/>
    <w:qFormat/>
    <w:rPr>
      <w:rFonts w:ascii="Symbol" w:hAnsi="Symbol" w:cs="Symbol"/>
    </w:rPr>
  </w:style>
  <w:style w:type="character" w:styleId="WW8Num328z0">
    <w:name w:val="WW8Num328z0"/>
    <w:qFormat/>
    <w:rPr/>
  </w:style>
  <w:style w:type="character" w:styleId="WW8Num329z0">
    <w:name w:val="WW8Num329z0"/>
    <w:qFormat/>
    <w:rPr>
      <w:rFonts w:ascii="Symbol" w:hAnsi="Symbol" w:cs="Symbol"/>
      <w:color w:val="0000FF"/>
    </w:rPr>
  </w:style>
  <w:style w:type="character" w:styleId="WW8Num330z0">
    <w:name w:val="WW8Num330z0"/>
    <w:qFormat/>
    <w:rPr>
      <w:rFonts w:ascii="Symbol" w:hAnsi="Symbol" w:cs="Symbol"/>
      <w:color w:val="auto"/>
    </w:rPr>
  </w:style>
  <w:style w:type="character" w:styleId="WW8Num331z0">
    <w:name w:val="WW8Num331z0"/>
    <w:qFormat/>
    <w:rPr>
      <w:rFonts w:ascii="Symbol" w:hAnsi="Symbol" w:cs="Symbol"/>
      <w:sz w:val="22"/>
    </w:rPr>
  </w:style>
  <w:style w:type="character" w:styleId="WW8Num333z0">
    <w:name w:val="WW8Num333z0"/>
    <w:qFormat/>
    <w:rPr/>
  </w:style>
  <w:style w:type="character" w:styleId="WW8Num334z0">
    <w:name w:val="WW8Num334z0"/>
    <w:qFormat/>
    <w:rPr>
      <w:rFonts w:ascii="Symbol" w:hAnsi="Symbol" w:cs="Symbol"/>
      <w:color w:val="auto"/>
    </w:rPr>
  </w:style>
  <w:style w:type="character" w:styleId="WW8Num335z0">
    <w:name w:val="WW8Num335z0"/>
    <w:qFormat/>
    <w:rPr/>
  </w:style>
  <w:style w:type="character" w:styleId="WW8Num336z0">
    <w:name w:val="WW8Num336z0"/>
    <w:qFormat/>
    <w:rPr>
      <w:rFonts w:ascii="Symbol" w:hAnsi="Symbol" w:cs="Symbol"/>
    </w:rPr>
  </w:style>
  <w:style w:type="character" w:styleId="WW8Num337z0">
    <w:name w:val="WW8Num337z0"/>
    <w:qFormat/>
    <w:rPr>
      <w:rFonts w:ascii="Symbol" w:hAnsi="Symbol" w:cs="Symbol"/>
      <w:color w:val="auto"/>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style>
  <w:style w:type="character" w:styleId="WW8Num345z0">
    <w:name w:val="WW8Num345z0"/>
    <w:qFormat/>
    <w:rPr>
      <w:rFonts w:ascii="Symbol" w:hAnsi="Symbol" w:cs="Symbol"/>
      <w:color w:val="auto"/>
    </w:rPr>
  </w:style>
  <w:style w:type="character" w:styleId="WW8Num346z0">
    <w:name w:val="WW8Num346z0"/>
    <w:qFormat/>
    <w:rPr>
      <w:rFonts w:ascii="Symbol" w:hAnsi="Symbol" w:cs="Symbol"/>
      <w:sz w:val="16"/>
    </w:rPr>
  </w:style>
  <w:style w:type="character" w:styleId="WW8Num347z0">
    <w:name w:val="WW8Num347z0"/>
    <w:qFormat/>
    <w:rPr/>
  </w:style>
  <w:style w:type="character" w:styleId="WW8Num348z0">
    <w:name w:val="WW8Num348z0"/>
    <w:qFormat/>
    <w:rPr>
      <w:rFonts w:ascii="Symbol" w:hAnsi="Symbol" w:cs="Symbol"/>
      <w:color w:val="auto"/>
    </w:rPr>
  </w:style>
  <w:style w:type="character" w:styleId="WW8Num349z0">
    <w:name w:val="WW8Num349z0"/>
    <w:qFormat/>
    <w:rPr/>
  </w:style>
  <w:style w:type="character" w:styleId="WW8Num350z0">
    <w:name w:val="WW8Num350z0"/>
    <w:qFormat/>
    <w:rPr>
      <w:rFonts w:ascii="Symbol" w:hAnsi="Symbol" w:cs="Symbol"/>
      <w:color w:val="auto"/>
    </w:rPr>
  </w:style>
  <w:style w:type="character" w:styleId="WW8Num351z0">
    <w:name w:val="WW8Num351z0"/>
    <w:qFormat/>
    <w:rPr>
      <w:rFonts w:ascii="Symbol" w:hAnsi="Symbol" w:cs="Symbol"/>
    </w:rPr>
  </w:style>
  <w:style w:type="character" w:styleId="WW8Num352z0">
    <w:name w:val="WW8Num352z0"/>
    <w:qFormat/>
    <w:rPr>
      <w:rFonts w:ascii="Symbol" w:hAnsi="Symbol" w:cs="Symbol"/>
      <w:sz w:val="22"/>
    </w:rPr>
  </w:style>
  <w:style w:type="character" w:styleId="WW8Num353z0">
    <w:name w:val="WW8Num353z0"/>
    <w:qFormat/>
    <w:rPr>
      <w:rFonts w:ascii="Symbol" w:hAnsi="Symbol" w:cs="Symbol"/>
      <w:color w:val="auto"/>
    </w:rPr>
  </w:style>
  <w:style w:type="character" w:styleId="WW8Num354z0">
    <w:name w:val="WW8Num354z0"/>
    <w:qFormat/>
    <w:rPr>
      <w:rFonts w:ascii="Symbol" w:hAnsi="Symbol" w:cs="Symbol"/>
    </w:rPr>
  </w:style>
  <w:style w:type="character" w:styleId="WW8Num355z0">
    <w:name w:val="WW8Num355z0"/>
    <w:qFormat/>
    <w:rPr>
      <w:rFonts w:ascii="Symbol" w:hAnsi="Symbol" w:cs="Symbol"/>
      <w:sz w:val="22"/>
    </w:rPr>
  </w:style>
  <w:style w:type="character" w:styleId="WW8Num356z0">
    <w:name w:val="WW8Num356z0"/>
    <w:qFormat/>
    <w:rPr/>
  </w:style>
  <w:style w:type="character" w:styleId="WW8Num357z0">
    <w:name w:val="WW8Num357z0"/>
    <w:qFormat/>
    <w:rPr/>
  </w:style>
  <w:style w:type="character" w:styleId="WW8Num358z0">
    <w:name w:val="WW8Num358z0"/>
    <w:qFormat/>
    <w:rPr>
      <w:b w:val="false"/>
      <w:i w:val="false"/>
      <w:sz w:val="22"/>
    </w:rPr>
  </w:style>
  <w:style w:type="character" w:styleId="WW8Num359z0">
    <w:name w:val="WW8Num359z0"/>
    <w:qFormat/>
    <w:rPr/>
  </w:style>
  <w:style w:type="character" w:styleId="WW8Num361z0">
    <w:name w:val="WW8Num361z0"/>
    <w:qFormat/>
    <w:rPr>
      <w:rFonts w:ascii="Symbol" w:hAnsi="Symbol" w:cs="Symbol"/>
    </w:rPr>
  </w:style>
  <w:style w:type="character" w:styleId="WW8Num363z0">
    <w:name w:val="WW8Num363z0"/>
    <w:qFormat/>
    <w:rPr>
      <w:rFonts w:ascii="Symbol" w:hAnsi="Symbol" w:cs="Symbol"/>
      <w:color w:val="auto"/>
    </w:rPr>
  </w:style>
  <w:style w:type="character" w:styleId="WW8Num365z0">
    <w:name w:val="WW8Num365z0"/>
    <w:qFormat/>
    <w:rPr>
      <w:rFonts w:ascii="Symbol" w:hAnsi="Symbol" w:cs="Symbol"/>
    </w:rPr>
  </w:style>
  <w:style w:type="character" w:styleId="WW8Num366z0">
    <w:name w:val="WW8Num366z0"/>
    <w:qFormat/>
    <w:rPr>
      <w:rFonts w:ascii="Symbol" w:hAnsi="Symbol" w:cs="Symbol"/>
      <w:color w:val="auto"/>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Symbol" w:hAnsi="Symbol" w:cs="Symbol"/>
      <w:color w:val="0000FF"/>
    </w:rPr>
  </w:style>
  <w:style w:type="character" w:styleId="WW8Num371z0">
    <w:name w:val="WW8Num371z0"/>
    <w:qFormat/>
    <w:rPr>
      <w:rFonts w:ascii="Symbol" w:hAnsi="Symbol" w:cs="Symbol"/>
      <w:color w:val="auto"/>
    </w:rPr>
  </w:style>
  <w:style w:type="character" w:styleId="WW8Num373z0">
    <w:name w:val="WW8Num373z0"/>
    <w:qFormat/>
    <w:rPr>
      <w:rFonts w:ascii="Symbol" w:hAnsi="Symbol" w:cs="Symbol"/>
    </w:rPr>
  </w:style>
  <w:style w:type="character" w:styleId="WW8Num374z0">
    <w:name w:val="WW8Num374z0"/>
    <w:qFormat/>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style>
  <w:style w:type="character" w:styleId="WW8Num379z0">
    <w:name w:val="WW8Num379z0"/>
    <w:qFormat/>
    <w:rPr>
      <w:rFonts w:ascii="Symbol" w:hAnsi="Symbol" w:cs="Symbol"/>
      <w:color w:val="auto"/>
    </w:rPr>
  </w:style>
  <w:style w:type="character" w:styleId="WW8Num381z0">
    <w:name w:val="WW8Num381z0"/>
    <w:qFormat/>
    <w:rPr>
      <w:rFonts w:ascii="Symbol" w:hAnsi="Symbol" w:cs="Symbol"/>
    </w:rPr>
  </w:style>
  <w:style w:type="character" w:styleId="WW8Num382z0">
    <w:name w:val="WW8Num382z0"/>
    <w:qFormat/>
    <w:rPr/>
  </w:style>
  <w:style w:type="character" w:styleId="WW8Num383z0">
    <w:name w:val="WW8Num383z0"/>
    <w:qFormat/>
    <w:rPr>
      <w:rFonts w:ascii="Symbol" w:hAnsi="Symbol" w:cs="Symbol"/>
    </w:rPr>
  </w:style>
  <w:style w:type="character" w:styleId="WW8Num384z0">
    <w:name w:val="WW8Num384z0"/>
    <w:qFormat/>
    <w:rPr/>
  </w:style>
  <w:style w:type="character" w:styleId="WW8Num385z0">
    <w:name w:val="WW8Num385z0"/>
    <w:qFormat/>
    <w:rPr/>
  </w:style>
  <w:style w:type="character" w:styleId="WW8Num386z0">
    <w:name w:val="WW8Num386z0"/>
    <w:qFormat/>
    <w:rPr>
      <w:rFonts w:ascii="Symbol" w:hAnsi="Symbol" w:cs="Symbol"/>
    </w:rPr>
  </w:style>
  <w:style w:type="character" w:styleId="WW8Num387z0">
    <w:name w:val="WW8Num387z0"/>
    <w:qFormat/>
    <w:rPr>
      <w:rFonts w:ascii="Symbol" w:hAnsi="Symbol" w:cs="Symbol"/>
      <w:color w:val="auto"/>
    </w:rPr>
  </w:style>
  <w:style w:type="character" w:styleId="WW8NumSt5z0">
    <w:name w:val="WW8NumSt5z0"/>
    <w:qFormat/>
    <w:rPr>
      <w:rFonts w:ascii="Symbol" w:hAnsi="Symbol" w:cs="Symbol"/>
    </w:rPr>
  </w:style>
  <w:style w:type="character" w:styleId="WW8NumSt7z0">
    <w:name w:val="WW8NumSt7z0"/>
    <w:qFormat/>
    <w:rPr>
      <w:rFonts w:ascii="Symbol" w:hAnsi="Symbol" w:cs="Symbol"/>
    </w:rPr>
  </w:style>
  <w:style w:type="character" w:styleId="WW8NumSt8z0">
    <w:name w:val="WW8NumSt8z0"/>
    <w:qFormat/>
    <w:rPr>
      <w:rFonts w:ascii="Symbol" w:hAnsi="Symbol" w:cs="Symbol"/>
    </w:rPr>
  </w:style>
  <w:style w:type="character" w:styleId="WW8NumSt9z0">
    <w:name w:val="WW8NumSt9z0"/>
    <w:qFormat/>
    <w:rPr>
      <w:rFonts w:ascii="Symbol" w:hAnsi="Symbol" w:cs="Symbol"/>
    </w:rPr>
  </w:style>
  <w:style w:type="character" w:styleId="WW8NumSt10z0">
    <w:name w:val="WW8NumSt10z0"/>
    <w:qFormat/>
    <w:rPr>
      <w:rFonts w:ascii="Symbol" w:hAnsi="Symbol" w:cs="Symbol"/>
    </w:rPr>
  </w:style>
  <w:style w:type="character" w:styleId="WW8NumSt19z0">
    <w:name w:val="WW8NumSt19z0"/>
    <w:qFormat/>
    <w:rPr>
      <w:rFonts w:ascii="Times New Roman" w:hAnsi="Times New Roman" w:cs="Times New Roman"/>
    </w:rPr>
  </w:style>
  <w:style w:type="character" w:styleId="WW8NumSt22z0">
    <w:name w:val="WW8NumSt22z0"/>
    <w:qFormat/>
    <w:rPr>
      <w:sz w:val="22"/>
    </w:rPr>
  </w:style>
  <w:style w:type="character" w:styleId="WW8NumSt25z0">
    <w:name w:val="WW8NumSt25z0"/>
    <w:qFormat/>
    <w:rPr>
      <w:rFonts w:ascii="Helv;Arial" w:hAnsi="Helv;Arial" w:cs="Helv;Arial"/>
    </w:rPr>
  </w:style>
  <w:style w:type="character" w:styleId="WW8NumSt54z0">
    <w:name w:val="WW8NumSt54z0"/>
    <w:qFormat/>
    <w:rPr>
      <w:rFonts w:ascii="Symbol" w:hAnsi="Symbol" w:cs="Symbol"/>
    </w:rPr>
  </w:style>
  <w:style w:type="character" w:styleId="WW8NumSt75z0">
    <w:name w:val="WW8NumSt75z0"/>
    <w:qFormat/>
    <w:rPr>
      <w:rFonts w:ascii="Helv;Arial" w:hAnsi="Helv;Arial" w:cs="Helv;Arial"/>
    </w:rPr>
  </w:style>
  <w:style w:type="character" w:styleId="WW8NumSt77z0">
    <w:name w:val="WW8NumSt77z0"/>
    <w:qFormat/>
    <w:rPr>
      <w:rFonts w:ascii="Symbol" w:hAnsi="Symbol" w:cs="Symbol"/>
    </w:rPr>
  </w:style>
  <w:style w:type="character" w:styleId="WW8NumSt78z0">
    <w:name w:val="WW8NumSt78z0"/>
    <w:qFormat/>
    <w:rPr>
      <w:rFonts w:ascii="New York" w:hAnsi="New York" w:cs="New York"/>
    </w:rPr>
  </w:style>
  <w:style w:type="character" w:styleId="WW8NumSt84z0">
    <w:name w:val="WW8NumSt84z0"/>
    <w:qFormat/>
    <w:rPr>
      <w:rFonts w:ascii="Symbol" w:hAnsi="Symbol" w:cs="Symbol"/>
    </w:rPr>
  </w:style>
  <w:style w:type="character" w:styleId="WW8NumSt89z0">
    <w:name w:val="WW8NumSt89z0"/>
    <w:qFormat/>
    <w:rPr>
      <w:rFonts w:ascii="Symbol" w:hAnsi="Symbol" w:cs="Symbol"/>
    </w:rPr>
  </w:style>
  <w:style w:type="character" w:styleId="WW8NumSt90z0">
    <w:name w:val="WW8NumSt90z0"/>
    <w:qFormat/>
    <w:rPr>
      <w:rFonts w:ascii="Symbol" w:hAnsi="Symbol" w:cs="Symbol"/>
    </w:rPr>
  </w:style>
  <w:style w:type="character" w:styleId="WW8NumSt91z0">
    <w:name w:val="WW8NumSt91z0"/>
    <w:qFormat/>
    <w:rPr>
      <w:rFonts w:ascii="Symbol" w:hAnsi="Symbol" w:cs="Symbol"/>
      <w:sz w:val="22"/>
    </w:rPr>
  </w:style>
  <w:style w:type="character" w:styleId="WW8NumSt92z0">
    <w:name w:val="WW8NumSt92z0"/>
    <w:qFormat/>
    <w:rPr>
      <w:rFonts w:ascii="Symbol" w:hAnsi="Symbol" w:cs="Symbol"/>
    </w:rPr>
  </w:style>
  <w:style w:type="character" w:styleId="WW8NumSt119z0">
    <w:name w:val="WW8NumSt119z0"/>
    <w:qFormat/>
    <w:rPr>
      <w:rFonts w:ascii="Times" w:hAnsi="Times" w:cs="Times"/>
    </w:rPr>
  </w:style>
  <w:style w:type="character" w:styleId="WW8NumSt124z0">
    <w:name w:val="WW8NumSt124z0"/>
    <w:qFormat/>
    <w:rPr>
      <w:rFonts w:ascii="New York" w:hAnsi="New York" w:cs="New York"/>
    </w:rPr>
  </w:style>
  <w:style w:type="character" w:styleId="WW8NumSt149z0">
    <w:name w:val="WW8NumSt149z0"/>
    <w:qFormat/>
    <w:rPr>
      <w:rFonts w:ascii="Arial" w:hAnsi="Arial" w:cs="Arial"/>
    </w:rPr>
  </w:style>
  <w:style w:type="character" w:styleId="WW8NumSt151z0">
    <w:name w:val="WW8NumSt151z0"/>
    <w:qFormat/>
    <w:rPr>
      <w:rFonts w:ascii="Symbol" w:hAnsi="Symbol" w:cs="Symbol"/>
    </w:rPr>
  </w:style>
  <w:style w:type="character" w:styleId="WW8NumSt164z0">
    <w:name w:val="WW8NumSt164z0"/>
    <w:qFormat/>
    <w:rPr>
      <w:rFonts w:ascii="Symbol" w:hAnsi="Symbol" w:cs="Symbol"/>
    </w:rPr>
  </w:style>
  <w:style w:type="character" w:styleId="WW8NumSt187z0">
    <w:name w:val="WW8NumSt187z0"/>
    <w:qFormat/>
    <w:rPr>
      <w:rFonts w:ascii="Courier New" w:hAnsi="Courier New" w:cs="Courier New"/>
    </w:rPr>
  </w:style>
  <w:style w:type="character" w:styleId="WW8NumSt227z0">
    <w:name w:val="WW8NumSt227z0"/>
    <w:qFormat/>
    <w:rPr>
      <w:rFonts w:ascii="Symbol" w:hAnsi="Symbol" w:cs="Symbol"/>
    </w:rPr>
  </w:style>
  <w:style w:type="character" w:styleId="WW8NumSt350z0">
    <w:name w:val="WW8NumSt350z0"/>
    <w:qFormat/>
    <w:rPr>
      <w:rFonts w:ascii="Symbol" w:hAnsi="Symbol" w:cs="Symbol"/>
      <w:sz w:val="22"/>
    </w:rPr>
  </w:style>
  <w:style w:type="character" w:styleId="WW8NumSt355z0">
    <w:name w:val="WW8NumSt355z0"/>
    <w:qFormat/>
    <w:rPr>
      <w:rFonts w:ascii="Times" w:hAnsi="Times" w:cs="Times"/>
    </w:rPr>
  </w:style>
  <w:style w:type="character" w:styleId="WW8NumSt394z0">
    <w:name w:val="WW8NumSt394z0"/>
    <w:qFormat/>
    <w:rPr>
      <w:rFonts w:ascii="Tms Rmn" w:hAnsi="Tms Rmn" w:cs="Tms Rmn"/>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numPr>
        <w:ilvl w:val="0"/>
        <w:numId w:val="0"/>
      </w:numPr>
      <w:tabs>
        <w:tab w:val="left" w:pos="360" w:leader="none"/>
        <w:tab w:val="left" w:pos="720" w:leader="none"/>
      </w:tabs>
      <w:spacing w:lineRule="auto" w:line="300" w:before="0" w:after="240"/>
      <w:ind w:hanging="0" w:start="0" w:end="0"/>
    </w:pPr>
    <w:rPr>
      <w:sz w:val="22"/>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4">
    <w:name w:val="Bullet4"/>
    <w:basedOn w:val="Normal"/>
    <w:qFormat/>
    <w:pPr>
      <w:keepLines/>
      <w:numPr>
        <w:ilvl w:val="0"/>
        <w:numId w:val="4"/>
      </w:numPr>
      <w:tabs>
        <w:tab w:val="left" w:pos="360" w:leader="none"/>
        <w:tab w:val="left" w:pos="720" w:leader="none"/>
      </w:tabs>
      <w:spacing w:before="0" w:after="120"/>
    </w:pPr>
    <w:rPr>
      <w:sz w:val="22"/>
    </w:rPr>
  </w:style>
  <w:style w:type="paragraph" w:styleId="NormalIndent">
    <w:name w:val="Normal Indent"/>
    <w:basedOn w:val="Normal"/>
    <w:qFormat/>
    <w:pPr>
      <w:ind w:hanging="0" w:start="720" w:end="0"/>
    </w:pPr>
    <w:rPr/>
  </w:style>
  <w:style w:type="paragraph" w:styleId="NIBullet">
    <w:name w:val="NIBullet"/>
    <w:basedOn w:val="NormalIndent"/>
    <w:qFormat/>
    <w:pPr>
      <w:keepLines/>
      <w:numPr>
        <w:ilvl w:val="0"/>
        <w:numId w:val="8"/>
      </w:numPr>
      <w:tabs>
        <w:tab w:val="clear" w:pos="720"/>
        <w:tab w:val="right" w:pos="9000" w:leader="none"/>
      </w:tabs>
      <w:spacing w:before="0" w:after="120"/>
    </w:pPr>
    <w:rPr>
      <w:sz w:val="22"/>
    </w:rPr>
  </w:style>
  <w:style w:type="paragraph" w:styleId="ListBullet">
    <w:name w:val="List Bullet"/>
    <w:basedOn w:val="Normal"/>
    <w:qFormat/>
    <w:pPr>
      <w:keepLines/>
      <w:numPr>
        <w:ilvl w:val="0"/>
        <w:numId w:val="2"/>
      </w:numPr>
      <w:tabs>
        <w:tab w:val="clear" w:pos="720"/>
        <w:tab w:val="left" w:pos="454" w:leader="none"/>
        <w:tab w:val="left" w:pos="737" w:leader="none"/>
      </w:tabs>
      <w:spacing w:before="0" w:after="120"/>
    </w:pPr>
    <w:rPr>
      <w:sz w:val="22"/>
    </w:rPr>
  </w:style>
  <w:style w:type="paragraph" w:styleId="NInumber">
    <w:name w:val="NInumber"/>
    <w:basedOn w:val="Normal"/>
    <w:qFormat/>
    <w:pPr>
      <w:keepLines/>
      <w:numPr>
        <w:ilvl w:val="0"/>
        <w:numId w:val="10"/>
      </w:numPr>
      <w:tabs>
        <w:tab w:val="clear" w:pos="720"/>
        <w:tab w:val="left" w:pos="360" w:leader="none"/>
      </w:tabs>
      <w:spacing w:before="0" w:after="240"/>
    </w:pPr>
    <w:rPr>
      <w:sz w:val="22"/>
    </w:rPr>
  </w:style>
  <w:style w:type="paragraph" w:styleId="normindent4">
    <w:name w:val="normindent4"/>
    <w:basedOn w:val="Normal"/>
    <w:qFormat/>
    <w:pPr>
      <w:keepLines/>
      <w:tabs>
        <w:tab w:val="left" w:pos="360" w:leader="none"/>
        <w:tab w:val="left" w:pos="720" w:leader="none"/>
      </w:tabs>
      <w:spacing w:before="0" w:after="240"/>
      <w:ind w:hanging="0" w:start="720" w:end="0"/>
    </w:pPr>
    <w:rPr>
      <w:sz w:val="22"/>
    </w:rPr>
  </w:style>
  <w:style w:type="paragraph" w:styleId="bullet41">
    <w:name w:val="bullet41"/>
    <w:basedOn w:val="normindent4"/>
    <w:qFormat/>
    <w:pPr>
      <w:numPr>
        <w:ilvl w:val="0"/>
        <w:numId w:val="7"/>
      </w:numPr>
      <w:spacing w:before="0" w:after="120"/>
    </w:pPr>
    <w:rPr/>
  </w:style>
  <w:style w:type="paragraph" w:styleId="normindent">
    <w:name w:val="normindent"/>
    <w:basedOn w:val="Normal"/>
    <w:qFormat/>
    <w:pPr>
      <w:keepLines/>
      <w:tabs>
        <w:tab w:val="left" w:pos="360" w:leader="none"/>
        <w:tab w:val="left" w:pos="720" w:leader="none"/>
      </w:tabs>
      <w:spacing w:before="0" w:after="240"/>
      <w:ind w:hanging="0" w:start="36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pBdr>
        <w:top w:val="single" w:sz="6" w:space="6" w:color="000000"/>
      </w:pBdr>
      <w:tabs>
        <w:tab w:val="clear" w:pos="720"/>
        <w:tab w:val="center" w:pos="4500" w:leader="none"/>
        <w:tab w:val="right" w:pos="9000" w:leader="none"/>
      </w:tabs>
    </w:pPr>
    <w:rPr>
      <w:sz w:val="18"/>
    </w:rPr>
  </w:style>
  <w:style w:type="paragraph" w:styleId="FootnoteText">
    <w:name w:val="footnote text"/>
    <w:basedOn w:val="Normal"/>
    <w:pPr>
      <w:keepLines/>
      <w:tabs>
        <w:tab w:val="left" w:pos="360" w:leader="none"/>
        <w:tab w:val="left" w:pos="720" w:leader="none"/>
      </w:tabs>
      <w:spacing w:before="0" w:after="120"/>
      <w:ind w:hanging="360" w:start="360" w:end="0"/>
    </w:pPr>
    <w:rPr>
      <w:sz w:val="18"/>
    </w:rPr>
  </w:style>
  <w:style w:type="paragraph" w:styleId="Header">
    <w:name w:val="header"/>
    <w:basedOn w:val="Normal"/>
    <w:pPr>
      <w:keepLines/>
      <w:pBdr>
        <w:bottom w:val="single" w:sz="6" w:space="6" w:color="000000"/>
      </w:pBdr>
      <w:tabs>
        <w:tab w:val="clear" w:pos="720"/>
        <w:tab w:val="right" w:pos="9000" w:leader="none"/>
      </w:tabs>
      <w:spacing w:lineRule="auto" w:line="300" w:before="0" w:after="240"/>
    </w:pPr>
    <w:rPr>
      <w:sz w:val="22"/>
    </w:rPr>
  </w:style>
  <w:style w:type="paragraph" w:styleId="Normindent1">
    <w:name w:val="Normindent1"/>
    <w:basedOn w:val="NormalIndent"/>
    <w:qFormat/>
    <w:pPr>
      <w:keepLines/>
      <w:tabs>
        <w:tab w:val="left" w:pos="360" w:leader="none"/>
        <w:tab w:val="left" w:pos="720" w:leader="none"/>
      </w:tabs>
      <w:ind w:hanging="0" w:start="360" w:end="0"/>
    </w:pPr>
    <w:rPr>
      <w:lang w:eastAsia="en-US"/>
    </w:rPr>
  </w:style>
  <w:style w:type="paragraph" w:styleId="NIBullet3">
    <w:name w:val="NIBullet3"/>
    <w:basedOn w:val="NormalIndent"/>
    <w:qFormat/>
    <w:pPr>
      <w:keepLines/>
      <w:tabs>
        <w:tab w:val="left" w:pos="720" w:leader="none"/>
        <w:tab w:val="right" w:pos="9000" w:leader="none"/>
      </w:tabs>
      <w:spacing w:before="0" w:after="120"/>
      <w:ind w:hanging="360" w:start="720" w:end="0"/>
    </w:pPr>
    <w:rPr>
      <w:lang w:eastAsia="en-US"/>
    </w:rPr>
  </w:style>
  <w:style w:type="paragraph" w:styleId="normindent2">
    <w:name w:val="normindent2"/>
    <w:basedOn w:val="Normal"/>
    <w:qFormat/>
    <w:pPr>
      <w:keepLines/>
      <w:tabs>
        <w:tab w:val="left" w:pos="360" w:leader="none"/>
        <w:tab w:val="left" w:pos="720" w:leader="none"/>
      </w:tabs>
      <w:ind w:hanging="0" w:start="360" w:end="0"/>
    </w:pPr>
    <w:rPr>
      <w:lang w:eastAsia="en-US"/>
    </w:rPr>
  </w:style>
  <w:style w:type="paragraph" w:styleId="EndnoteText">
    <w:name w:val="end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2002-02-06T18:41:00Z</dcterms:created>
  <dc:creator>wbc</dc:creator>
  <dc:description/>
  <dc:language>en-CA</dc:language>
  <cp:lastModifiedBy>Wendy Bannerman-Clark</cp:lastModifiedBy>
  <cp:lastPrinted>2002-02-06T17:14:00Z</cp:lastPrinted>
  <dcterms:modified xsi:type="dcterms:W3CDTF">2002-02-06T21:32:00Z</dcterms:modified>
  <cp:revision>9</cp:revision>
  <dc:subject/>
  <dc:title>energy trading</dc:title>
</cp:coreProperties>
</file>