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widowControl/>
        <w:ind w:hanging="0" w:end="0"/>
        <w:jc w:val="center"/>
        <w:rPr>
          <w:b/>
          <w:u w:val="single"/>
        </w:rPr>
      </w:pPr>
      <w:r>
        <w:rPr>
          <w:b/>
          <w:u w:val="single"/>
        </w:rPr>
        <w:t>SDG&amp;E Advice Letter Summary</w:t>
      </w:r>
    </w:p>
    <w:p>
      <w:pPr>
        <w:pStyle w:val="Body"/>
        <w:widowControl/>
        <w:ind w:hanging="0" w:end="0"/>
        <w:jc w:val="center"/>
        <w:rPr>
          <w:b/>
          <w:u w:val="single"/>
        </w:rPr>
      </w:pPr>
      <w:r>
        <w:rPr>
          <w:b/>
          <w:u w:val="single"/>
        </w:rPr>
        <w:t>June 7, 2001</w:t>
      </w:r>
      <w:bookmarkStart w:id="0" w:name="zEndAddressee"/>
      <w:bookmarkEnd w:id="0"/>
    </w:p>
    <w:p>
      <w:pPr>
        <w:pStyle w:val="Body"/>
        <w:widowControl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1684"/>
        <w:gridCol w:w="3469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Date Filed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Comments Due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1255-G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SDG&amp;E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6/6/01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6/26/01</w:t>
              <w:br/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rPr>
                <w:b/>
              </w:rPr>
            </w:pPr>
            <w:r>
              <w:rPr>
                <w:b/>
              </w:rPr>
              <w:t xml:space="preserve">Analysis:  </w:t>
            </w:r>
          </w:p>
          <w:p>
            <w:pPr>
              <w:pStyle w:val="Normal"/>
              <w:widowControl/>
              <w:tabs>
                <w:tab w:val="clear" w:pos="720"/>
                <w:tab w:val="left" w:pos="9180" w:leader="none"/>
              </w:tabs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9180" w:leader="none"/>
              </w:tabs>
              <w:jc w:val="both"/>
              <w:rPr/>
            </w:pPr>
            <w:r>
              <w:rPr/>
              <w:t>The purpose of this filing is to provide notice of revisions to the following gas tariff schedules: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  <w:tab w:val="left" w:pos="9180" w:leader="none"/>
              </w:tabs>
              <w:jc w:val="both"/>
              <w:rPr/>
            </w:pPr>
            <w:r>
              <w:rPr/>
              <w:t>core rates for Schedule GPC;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  <w:tab w:val="left" w:pos="9180" w:leader="none"/>
              </w:tabs>
              <w:jc w:val="both"/>
              <w:rPr/>
            </w:pPr>
            <w:r>
              <w:rPr/>
              <w:t>the one-year purchase commitment rates for Schedule GCORE;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  <w:tab w:val="left" w:pos="9180" w:leader="none"/>
              </w:tabs>
              <w:jc w:val="both"/>
              <w:rPr/>
            </w:pPr>
            <w:r>
              <w:rPr/>
              <w:t>the monthly purchase commitment rates for Schedule GPNC-s;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  <w:tab w:val="left" w:pos="9180" w:leader="none"/>
              </w:tabs>
              <w:jc w:val="both"/>
              <w:rPr/>
            </w:pPr>
            <w:r>
              <w:rPr/>
              <w:t>the Franchise Fee Surcharge Rates under Schedule GP-SUR;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  <w:tab w:val="left" w:pos="9180" w:leader="none"/>
              </w:tabs>
              <w:jc w:val="both"/>
              <w:rPr/>
            </w:pPr>
            <w:r>
              <w:rPr/>
              <w:t>the Standby Procurement, Buyback Rates and Daily Balancing Standby Rates under Schedule G-IMB – Transportation Imbalance Service.</w:t>
            </w:r>
          </w:p>
          <w:p>
            <w:pPr>
              <w:pStyle w:val="Normal"/>
              <w:widowControl/>
              <w:tabs>
                <w:tab w:val="clear" w:pos="720"/>
                <w:tab w:val="left" w:pos="9180" w:leader="none"/>
              </w:tabs>
              <w:jc w:val="both"/>
              <w:rPr/>
            </w:pPr>
            <w:r>
              <w:rPr/>
            </w:r>
          </w:p>
        </w:tc>
      </w:tr>
    </w:tbl>
    <w:p>
      <w:pPr>
        <w:pStyle w:val="Body"/>
        <w:widowControl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Body"/>
        <w:widowControl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432" w:bottom="12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90"/>
    </w:tblGrid>
    <w:tr>
      <w:trPr/>
      <w:tc>
        <w:tcPr>
          <w:tcW w:w="3802" w:type="dxa"/>
          <w:tcBorders/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  <w:p>
          <w:pPr>
            <w:pStyle w:val="FooterTxt"/>
            <w:widowControl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widowControl/>
            <w:jc w:val="center"/>
            <w:rPr/>
          </w:pPr>
          <w:r>
            <w:rPr>
              <w:rStyle w:val="PageNumber"/>
              <w:sz w:val="24"/>
            </w:rPr>
            <w:fldChar w:fldCharType="begin"/>
          </w:r>
          <w:r>
            <w:rPr>
              <w:rStyle w:val="PageNumber"/>
              <w:sz w:val="24"/>
            </w:rPr>
            <w:instrText xml:space="preserve"> PAGE </w:instrText>
          </w:r>
          <w:r>
            <w:rPr>
              <w:rStyle w:val="PageNumber"/>
              <w:sz w:val="24"/>
            </w:rPr>
            <w:fldChar w:fldCharType="separate"/>
          </w:r>
          <w:r>
            <w:rPr>
              <w:rStyle w:val="PageNumber"/>
              <w:sz w:val="24"/>
            </w:rPr>
            <w:t>0</w:t>
          </w:r>
          <w:r>
            <w:rPr>
              <w:rStyle w:val="PageNumber"/>
              <w:sz w:val="24"/>
            </w:rPr>
            <w:fldChar w:fldCharType="end"/>
          </w:r>
          <w:r>
            <w:rPr>
              <w:rStyle w:val="PageNumber"/>
              <w:sz w:val="24"/>
            </w:rPr>
            <w:t>.</w:t>
          </w:r>
        </w:p>
      </w:tc>
      <w:tc>
        <w:tcPr>
          <w:tcW w:w="3690" w:type="dxa"/>
          <w:tcBorders/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86"/>
    </w:tblGrid>
    <w:tr>
      <w:trPr/>
      <w:tc>
        <w:tcPr>
          <w:tcW w:w="3802" w:type="dxa"/>
          <w:tcBorders/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widowControl/>
            <w:snapToGrid w:val="false"/>
            <w:jc w:val="center"/>
            <w:rPr/>
          </w:pPr>
          <w:r>
            <w:rPr/>
          </w:r>
        </w:p>
      </w:tc>
      <w:tc>
        <w:tcPr>
          <w:tcW w:w="3686" w:type="dxa"/>
          <w:tcBorders/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>SDG&amp;E Advice Letter Summary</w:t>
    </w:r>
  </w:p>
  <w:p>
    <w:pPr>
      <w:pStyle w:val="Header"/>
      <w:widowControl/>
      <w:rPr/>
    </w:pP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  <w:p>
    <w:pPr>
      <w:pStyle w:val="Header"/>
      <w:widowControl/>
      <w:rPr>
        <w:rStyle w:val="PageNumber"/>
        <w:sz w:val="24"/>
      </w:rPr>
    </w:pPr>
    <w:r>
      <w:rPr/>
      <w:t xml:space="preserve">Page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</w:rPr>
      <w:t>0</w:t>
    </w:r>
    <w:r>
      <w:rPr>
        <w:rStyle w:val="PageNumber"/>
        <w:sz w:val="24"/>
      </w:rPr>
      <w:fldChar w:fldCharType="end"/>
    </w:r>
  </w:p>
  <w:p>
    <w:pPr>
      <w:pStyle w:val="Header"/>
      <w:widowControl/>
      <w:rPr>
        <w:rStyle w:val="PageNumber"/>
        <w:sz w:val="24"/>
      </w:rPr>
    </w:pPr>
    <w:r>
      <w:rPr/>
    </w:r>
  </w:p>
  <w:p>
    <w:pPr>
      <w:pStyle w:val="Header"/>
      <w:widowControl/>
      <w:rPr>
        <w:rStyle w:val="PageNumber"/>
        <w:sz w:val="24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20"/>
      <w:vertAlign w:val="superscript"/>
    </w:rPr>
  </w:style>
  <w:style w:type="character" w:styleId="PageNumber">
    <w:name w:val="page number"/>
    <w:basedOn w:val="DefaultParagraphFont"/>
    <w:rPr>
      <w:sz w:val="20"/>
    </w:rPr>
  </w:style>
  <w:style w:type="character" w:styleId="Bold">
    <w:name w:val="Bold"/>
    <w:basedOn w:val="DefaultParagraphFont"/>
    <w:qFormat/>
    <w:rPr>
      <w:b/>
      <w:sz w:val="20"/>
    </w:rPr>
  </w:style>
  <w:style w:type="character" w:styleId="BoldUnd">
    <w:name w:val="BoldUnd"/>
    <w:basedOn w:val="DefaultParagraphFont"/>
    <w:qFormat/>
    <w:rPr>
      <w:b/>
      <w:sz w:val="20"/>
      <w:u w:val="single"/>
    </w:rPr>
  </w:style>
  <w:style w:type="character" w:styleId="Underline">
    <w:name w:val="Underline"/>
    <w:basedOn w:val="DefaultParagraphFont"/>
    <w:qFormat/>
    <w:rPr>
      <w:sz w:val="20"/>
      <w:u w:val="single"/>
    </w:rPr>
  </w:style>
  <w:style w:type="character" w:styleId="FieldMark">
    <w:name w:val="FieldMark"/>
    <w:basedOn w:val="DefaultParagraphFont"/>
    <w:qFormat/>
    <w:rPr>
      <w:b/>
      <w:color w:val="0000FF"/>
      <w:sz w:val="20"/>
    </w:rPr>
  </w:style>
  <w:style w:type="character" w:styleId="OptionalParas">
    <w:name w:val="OptionalParas"/>
    <w:basedOn w:val="DefaultParagraphFont"/>
    <w:qFormat/>
    <w:rPr>
      <w:color w:val="0000FF"/>
      <w:sz w:val="20"/>
    </w:rPr>
  </w:style>
  <w:style w:type="character" w:styleId="Strong">
    <w:name w:val="Strong"/>
    <w:qFormat/>
    <w:rPr>
      <w:b/>
      <w:sz w:val="20"/>
    </w:rPr>
  </w:style>
  <w:style w:type="character" w:styleId="DocTitle">
    <w:name w:val="DocTitle"/>
    <w:basedOn w:val="DefaultParagraphFont"/>
    <w:qFormat/>
    <w:rPr>
      <w:b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2">
    <w:name w:val="Body Text 2"/>
    <w:basedOn w:val="Normal"/>
    <w:qFormat/>
    <w:pPr>
      <w:spacing w:before="0" w:after="240"/>
      <w:ind w:hanging="0" w:start="1440" w:end="0"/>
    </w:pPr>
    <w:rPr/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/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</w:pPr>
    <w:rPr/>
  </w:style>
  <w:style w:type="paragraph" w:styleId="IndentOneInch">
    <w:name w:val="IndentOneInch"/>
    <w:basedOn w:val="Body"/>
    <w:qFormat/>
    <w:pPr>
      <w:ind w:firstLine="720" w:start="1440" w:end="0"/>
    </w:pPr>
    <w:rPr/>
  </w:style>
  <w:style w:type="paragraph" w:styleId="IndentTwoInches">
    <w:name w:val="IndentTwoInches"/>
    <w:basedOn w:val="Body"/>
    <w:qFormat/>
    <w:pPr>
      <w:ind w:firstLine="720" w:start="2880" w:end="0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BodyText21">
    <w:name w:val="Body Text 21"/>
    <w:basedOn w:val="Normal"/>
    <w:qFormat/>
    <w:pPr>
      <w:jc w:val="both"/>
    </w:pPr>
    <w:rPr>
      <w:rFonts w:ascii="Arial" w:hAnsi="Arial" w:cs="Arial"/>
    </w:rPr>
  </w:style>
  <w:style w:type="paragraph" w:styleId="NormalWeb">
    <w:name w:val="Normal (Web)"/>
    <w:basedOn w:val="Normal"/>
    <w:qFormat/>
    <w:pPr>
      <w:widowControl/>
      <w:spacing w:before="100" w:after="100"/>
    </w:pPr>
    <w:rPr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2001-06-07T15:45:00Z</dcterms:created>
  <dc:creator>Arter &amp; Hadden</dc:creator>
  <dc:description/>
  <dc:language>en-CA</dc:language>
  <cp:lastModifiedBy>Daniel W. Douglass</cp:lastModifiedBy>
  <cp:lastPrinted>2001-06-05T12:22:00Z</cp:lastPrinted>
  <dcterms:modified xsi:type="dcterms:W3CDTF">2001-06-07T15:45:00Z</dcterms:modified>
  <cp:revision>2</cp:revision>
  <dc:subject/>
  <dc:title>A</dc:title>
</cp:coreProperties>
</file>