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ind w:hanging="0" w:end="0"/>
        <w:jc w:val="center"/>
        <w:rPr>
          <w:b/>
          <w:bCs/>
          <w:u w:val="single"/>
        </w:rPr>
      </w:pPr>
      <w:r>
        <w:rPr>
          <w:b/>
          <w:bCs/>
          <w:u w:val="single"/>
        </w:rPr>
        <w:t>PG&amp;E Advice Letter Summary</w:t>
      </w:r>
    </w:p>
    <w:p>
      <w:pPr>
        <w:pStyle w:val="Body"/>
        <w:widowControl/>
        <w:ind w:hanging="0" w:end="0"/>
        <w:jc w:val="center"/>
        <w:rPr>
          <w:b/>
          <w:bCs/>
          <w:u w:val="single"/>
        </w:rPr>
      </w:pPr>
      <w:r>
        <w:rPr>
          <w:b/>
          <w:bCs/>
          <w:u w:val="single"/>
        </w:rPr>
        <w:t>June 7, 2001</w:t>
      </w:r>
    </w:p>
    <w:p>
      <w:pPr>
        <w:pStyle w:val="Body"/>
        <w:widowControl/>
        <w:spacing w:before="0" w:after="0"/>
        <w:ind w:hanging="0" w:end="0"/>
        <w:jc w:val="center"/>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390"/>
        <w:gridCol w:w="2520"/>
        <w:gridCol w:w="280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Filed By</w:t>
            </w:r>
          </w:p>
        </w:tc>
        <w:tc>
          <w:tcPr>
            <w:tcW w:w="13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Date Filed</w:t>
            </w:r>
          </w:p>
        </w:tc>
        <w:tc>
          <w:tcPr>
            <w:tcW w:w="252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Comments Due</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rPr/>
            </w:pPr>
            <w:r>
              <w:rPr/>
              <w:t>21221-E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3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6/6/01</w:t>
            </w:r>
          </w:p>
        </w:tc>
        <w:tc>
          <w:tcPr>
            <w:tcW w:w="252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t>6/26/01</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end="0"/>
              <w:rPr>
                <w:b/>
                <w:bCs/>
              </w:rPr>
            </w:pPr>
            <w:r>
              <w:rPr>
                <w:b/>
                <w:bCs/>
              </w:rPr>
              <w:t xml:space="preserve">Analysis:  </w:t>
            </w:r>
          </w:p>
          <w:p>
            <w:pPr>
              <w:pStyle w:val="Normal"/>
              <w:jc w:val="both"/>
              <w:rPr>
                <w:color w:val="000000"/>
              </w:rPr>
            </w:pPr>
            <w:r>
              <w:rPr>
                <w:color w:val="000000"/>
              </w:rPr>
              <w:t>This advice filing establishes the Real Time Energy Metering Memorandum Account (RTEMMA) for PG&amp;E to record for future recovery the incremental costs associated with installing, operating, and reading RTEM equipment including any associated taxes, to the extent these costs exceed the funding provided by the CEC.  PG&amp;E is not requesting actual recovery of the incremental RTEM costs, but rather the authority to track those incremental costs in a memorandum account, allowing them an opportunity to request recovery at a later date.</w:t>
            </w:r>
          </w:p>
          <w:p>
            <w:pPr>
              <w:pStyle w:val="Normal"/>
              <w:jc w:val="both"/>
              <w:rPr>
                <w:color w:val="000000"/>
              </w:rPr>
            </w:pPr>
            <w:r>
              <w:rPr>
                <w:color w:val="000000"/>
              </w:rPr>
            </w:r>
          </w:p>
          <w:p>
            <w:pPr>
              <w:pStyle w:val="WW-BodyText2"/>
              <w:rPr/>
            </w:pPr>
            <w:r>
              <w:rPr/>
              <w:t xml:space="preserve">ABX1-29 appropriated $35 million for the CEC to fund the cost of RTEM metering and related information systems for customers with average demand of 200 kW or greater.  SBX1-5, which also recently became law, provides additional funding, “to implement programs to improve . . . advanced metering of energy usage.”  </w:t>
            </w:r>
            <w:r>
              <w:rPr>
                <w:color w:val="000000"/>
              </w:rPr>
              <w:t xml:space="preserve">PG&amp;E says it is “hopeful” that the CEC will cover most, if not all, of the first year costs of installing RTEM equipment and related infrastructure for PG&amp;E’s approximately 8,000 customers bundled customers with average demand of 200 kW or greater.  Approximately 2,100 of these customers already have RTEM equipment and communications installed while the remaining 5,900 customers will require installations of new systems.  After the first year, PG&amp;E estimates it will cost approximately $2.8 million annually in communication, data management, and other expenses, to continue RTEM system functionality for these customers.  </w:t>
            </w:r>
            <w:r>
              <w:rPr/>
              <w:t>PG&amp;E says it can install all 5,900 new RTEM meters between now and October 31, 2001 and is working with the CEC to commence work as soon as possible.  PG&amp;E also requests that the Commission should rule that recovery of any amounts recorded in the RTEMMA would not be subject to any existing or future restrictions on post-rate freeze rate recovery, such as those in D.99-10-057 and D. 00-03-058.</w:t>
            </w:r>
          </w:p>
          <w:p>
            <w:pPr>
              <w:pStyle w:val="WW-BodyText2"/>
              <w:rPr/>
            </w:pPr>
            <w:r>
              <w:rPr/>
            </w:r>
          </w:p>
        </w:tc>
      </w:tr>
    </w:tbl>
    <w:p>
      <w:pPr>
        <w:pStyle w:val="Body"/>
        <w:widowControl/>
        <w:spacing w:before="0" w:after="120"/>
        <w:ind w:hanging="0" w:end="0"/>
        <w:jc w:val="center"/>
        <w:rPr/>
      </w:pPr>
      <w:r>
        <w:rPr/>
      </w:r>
    </w:p>
    <w:sectPr>
      <w:headerReference w:type="default" r:id="rId2"/>
      <w:headerReference w:type="first" r:id="rId3"/>
      <w:footerReference w:type="default" r:id="rId4"/>
      <w:footerReference w:type="first" r:id="rId5"/>
      <w:type w:val="nextPage"/>
      <w:pgSz w:w="12240" w:h="15840"/>
      <w:pgMar w:left="1440" w:right="1440" w:gutter="0" w:header="720" w:top="1296" w:footer="432" w:bottom="1152"/>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Century Schoolbook">
    <w:altName w:val="Bookman Old Style"/>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op w:val="dashed" w:sz="6" w:space="0" w:color="auto"/>
            <w:start w:val="dashed" w:sz="6" w:space="0" w:color="auto"/>
            <w:bottom w:val="dashed" w:sz="6" w:space="0" w:color="auto"/>
            <w:end w:val="dashed" w:sz="6" w:space="0" w:color="auto"/>
          </w:tcBorders>
        </w:tcPr>
        <w:p>
          <w:pPr>
            <w:pStyle w:val="FooterTxt"/>
            <w:widowControl/>
            <w:snapToGrid w:val="false"/>
            <w:rPr/>
          </w:pPr>
          <w:r>
            <w:rPr/>
          </w:r>
        </w:p>
      </w:tc>
      <w:tc>
        <w:tcPr>
          <w:tcW w:w="198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pPr>
          <w:r>
            <w:rPr/>
          </w:r>
        </w:p>
      </w:tc>
      <w:tc>
        <w:tcPr>
          <w:tcW w:w="3686"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pPr>
          <w:r>
            <w:rPr/>
          </w:r>
        </w:p>
      </w:tc>
    </w:tr>
  </w:tbl>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PG&amp;E Advice Letter Summary</w:t>
    </w:r>
  </w:p>
  <w:p>
    <w:pPr>
      <w:pStyle w:val="Header"/>
      <w:rPr/>
    </w:pPr>
    <w:r>
      <w:rPr/>
      <w:t>June 3, 2001</w:t>
    </w:r>
  </w:p>
  <w:p>
    <w:pPr>
      <w:pStyle w:val="Header"/>
      <w:rPr>
        <w:rStyle w:val="PageNumber"/>
        <w:sz w:val="24"/>
        <w:szCs w:val="24"/>
      </w:rPr>
    </w:pPr>
    <w:r>
      <w:rPr/>
      <w:t xml:space="preserve">Page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0</w:t>
    </w:r>
    <w:r>
      <w:rPr>
        <w:rStyle w:val="PageNumber"/>
        <w:sz w:val="24"/>
        <w:szCs w:val="24"/>
      </w:rPr>
      <w:fldChar w:fldCharType="end"/>
    </w:r>
  </w:p>
  <w:p>
    <w:pPr>
      <w:pStyle w:val="Header"/>
      <w:rPr>
        <w:rStyle w:val="PageNumber"/>
        <w:sz w:val="24"/>
        <w:szCs w:val="24"/>
      </w:rPr>
    </w:pPr>
    <w:r>
      <w:rPr/>
    </w:r>
  </w:p>
  <w:p>
    <w:pPr>
      <w:pStyle w:val="Header"/>
      <w:rPr>
        <w:rStyle w:val="PageNumber"/>
        <w:sz w:val="24"/>
        <w:szCs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rPr>
  </w:style>
  <w:style w:type="paragraph" w:styleId="Heading3">
    <w:name w:val="heading 3"/>
    <w:basedOn w:val="Normal"/>
    <w:next w:val="Normal"/>
    <w:qFormat/>
    <w:pPr>
      <w:numPr>
        <w:ilvl w:val="2"/>
        <w:numId w:val="1"/>
      </w:numPr>
      <w:ind w:hanging="720" w:start="2160" w:end="0"/>
      <w:outlineLvl w:val="2"/>
    </w:pPr>
    <w:rPr>
      <w:b/>
      <w:bCs/>
    </w:rPr>
  </w:style>
  <w:style w:type="paragraph" w:styleId="Heading4">
    <w:name w:val="heading 4"/>
    <w:basedOn w:val="Normal"/>
    <w:next w:val="Normal"/>
    <w:qFormat/>
    <w:pPr>
      <w:numPr>
        <w:ilvl w:val="3"/>
        <w:numId w:val="1"/>
      </w:numPr>
      <w:ind w:hanging="720" w:start="2880" w:end="0"/>
      <w:outlineLvl w:val="3"/>
    </w:pPr>
    <w:rPr>
      <w:b/>
      <w:bCs/>
    </w:rPr>
  </w:style>
  <w:style w:type="paragraph" w:styleId="Heading5">
    <w:name w:val="heading 5"/>
    <w:basedOn w:val="Normal"/>
    <w:next w:val="Normal"/>
    <w:qFormat/>
    <w:pPr>
      <w:numPr>
        <w:ilvl w:val="4"/>
        <w:numId w:val="1"/>
      </w:numPr>
      <w:ind w:hanging="720" w:start="3600" w:end="0"/>
      <w:outlineLvl w:val="4"/>
    </w:pPr>
    <w:rPr>
      <w:b/>
      <w:bCs/>
    </w:rPr>
  </w:style>
  <w:style w:type="paragraph" w:styleId="Heading6">
    <w:name w:val="heading 6"/>
    <w:basedOn w:val="Normal"/>
    <w:next w:val="Normal"/>
    <w:qFormat/>
    <w:pPr>
      <w:numPr>
        <w:ilvl w:val="5"/>
        <w:numId w:val="1"/>
      </w:numPr>
      <w:ind w:hanging="720" w:start="4320" w:end="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character" w:styleId="Bold">
    <w:name w:val="Bold"/>
    <w:basedOn w:val="DefaultParagraphFont"/>
    <w:qFormat/>
    <w:rPr>
      <w:b/>
      <w:bCs/>
      <w:sz w:val="20"/>
      <w:szCs w:val="20"/>
    </w:rPr>
  </w:style>
  <w:style w:type="character" w:styleId="BoldUnd">
    <w:name w:val="BoldUnd"/>
    <w:basedOn w:val="DefaultParagraphFont"/>
    <w:qFormat/>
    <w:rPr>
      <w:b/>
      <w:bCs/>
      <w:sz w:val="20"/>
      <w:szCs w:val="20"/>
      <w:u w:val="single"/>
    </w:rPr>
  </w:style>
  <w:style w:type="character" w:styleId="Underline">
    <w:name w:val="Underline"/>
    <w:basedOn w:val="DefaultParagraphFont"/>
    <w:qFormat/>
    <w:rPr>
      <w:sz w:val="20"/>
      <w:szCs w:val="20"/>
      <w:u w:val="single"/>
    </w:rPr>
  </w:style>
  <w:style w:type="character" w:styleId="FieldMark">
    <w:name w:val="FieldMark"/>
    <w:basedOn w:val="DefaultParagraphFont"/>
    <w:qFormat/>
    <w:rPr>
      <w:b/>
      <w:bCs/>
      <w:color w:val="0000FF"/>
      <w:sz w:val="20"/>
      <w:szCs w:val="20"/>
    </w:rPr>
  </w:style>
  <w:style w:type="character" w:styleId="OptionalParas">
    <w:name w:val="OptionalParas"/>
    <w:basedOn w:val="DefaultParagraphFont"/>
    <w:qFormat/>
    <w:rPr>
      <w:color w:val="0000FF"/>
      <w:sz w:val="20"/>
      <w:szCs w:val="20"/>
    </w:rPr>
  </w:style>
  <w:style w:type="character" w:styleId="DocTitle">
    <w:name w:val="DocTitle"/>
    <w:basedOn w:val="DefaultParagraphFont"/>
    <w:qFormat/>
    <w:rPr>
      <w:b/>
      <w:bCs/>
      <w:sz w:val="20"/>
      <w:szCs w:val="20"/>
    </w:rPr>
  </w:style>
  <w:style w:type="character" w:styleId="Strong">
    <w:name w:val="Strong"/>
    <w:qFormat/>
    <w:rPr>
      <w:b/>
      <w:bCs/>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next w:val="Normal"/>
    <w:qFormat/>
    <w:pPr>
      <w:widowControl/>
      <w:spacing w:before="360" w:after="240"/>
    </w:pPr>
    <w:rPr>
      <w:rFonts w:ascii="Century Schoolbook;Bookman Old Style" w:hAnsi="Century Schoolbook;Bookman Old Style" w:eastAsia="Century Schoolbook;Bookman Old Style" w:cs="Century Schoolbook;Bookman Old Style"/>
      <w:b/>
      <w:bCs/>
      <w:u w:val="single"/>
      <w:lang w:val="en-CA"/>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2">
    <w:name w:val="Body Text 2"/>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Body1">
    <w:name w:val="Body1"/>
    <w:basedOn w:val="Normal"/>
    <w:qFormat/>
    <w:pPr>
      <w:spacing w:before="0" w:after="240"/>
      <w:ind w:firstLine="1440" w:start="0" w:end="0"/>
    </w:pPr>
    <w:rPr/>
  </w:style>
  <w:style w:type="paragraph" w:styleId="WW-BodyText2">
    <w:name w:val="WW-Body Text 2"/>
    <w:basedOn w:val="Normal"/>
    <w:qFormat/>
    <w:pPr>
      <w:jc w:val="both"/>
    </w:pPr>
    <w:rPr/>
  </w:style>
  <w:style w:type="paragraph" w:styleId="BlockText">
    <w:name w:val="Block Text"/>
    <w:basedOn w:val="Normal"/>
    <w:qFormat/>
    <w:pPr>
      <w:ind w:hanging="0" w:start="1620" w:end="1620"/>
      <w:jc w:val="both"/>
    </w:pPr>
    <w:rPr>
      <w:rFonts w:ascii="Arial" w:hAnsi="Arial" w:eastAsia="Arial" w:cs="Arial"/>
    </w:rPr>
  </w:style>
  <w:style w:type="paragraph" w:styleId="BodyText3">
    <w:name w:val="Body Text 3"/>
    <w:basedOn w:val="Normal"/>
    <w:qFormat/>
    <w:pPr>
      <w:jc w:val="both"/>
    </w:pPr>
    <w:rPr>
      <w:rFonts w:ascii="Arial" w:hAnsi="Arial" w:eastAsia="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2001-06-07T13:44:00Z</dcterms:created>
  <dc:creator>Arter &amp; Hadden</dc:creator>
  <dc:description/>
  <dc:language>en-CA</dc:language>
  <cp:lastModifiedBy>Daniel W. Douglass</cp:lastModifiedBy>
  <cp:lastPrinted>2001-06-07T09:35:00Z</cp:lastPrinted>
  <dcterms:modified xsi:type="dcterms:W3CDTF">2001-06-07T14:06:00Z</dcterms:modified>
  <cp:revision>5</cp:revision>
  <dc:subject/>
  <dc:title>A</dc:title>
</cp:coreProperties>
</file>