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PG&amp;E Advice Letter Summary</w:t>
      </w:r>
    </w:p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June 6, 2001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390"/>
        <w:gridCol w:w="2520"/>
        <w:gridCol w:w="280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rPr/>
            </w:pPr>
            <w:r>
              <w:rPr/>
              <w:t>2121-E-A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PG&amp;E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6/5/01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/>
              <w:t>6/25/01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>The purpose of this filing is to revise Schedule E-OBMC—</w:t>
            </w:r>
            <w:r>
              <w:rPr>
                <w:i/>
                <w:iCs/>
              </w:rPr>
              <w:t>Optional</w:t>
            </w:r>
            <w:r>
              <w:rPr/>
              <w:t xml:space="preserve"> </w:t>
            </w:r>
            <w:r>
              <w:rPr>
                <w:i/>
                <w:iCs/>
              </w:rPr>
              <w:t>Binding Mandatory Curtailment</w:t>
            </w:r>
            <w:r>
              <w:rPr/>
              <w:t xml:space="preserve"> (OBMC) and the “</w:t>
            </w:r>
            <w:r>
              <w:rPr>
                <w:i/>
                <w:iCs/>
              </w:rPr>
              <w:t xml:space="preserve">Agreement for Schedule E-OBMC” </w:t>
            </w:r>
            <w:r>
              <w:rPr/>
              <w:t>(Form 79-966).  This filing is made in further compliance with D.01-05-090 issued May 24.  PG&amp;E filed Advice 2121-E on May 29, 2001, and this supplemental filing supersedes the tariffs filed under Advice 2121-E.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 xml:space="preserve">D.01-05-090 modifies D.01-04-006 by permitting customers participating in the OBMC program to also participate in utility-operated capacity interruptible programs as long as those programs require the reduction of the customer’s load to a pre-established firm service level (FSL).  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As requested by the Energy Division, PG&amp;E is revising Schedule E-OBMC to: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jc w:val="both"/>
              <w:rPr/>
            </w:pPr>
            <w:r>
              <w:rPr/>
              <w:t>Clarify that OBMC customers who are only customer on their circuit, on a may participate in a PG&amp;E operated capacity interruptible program.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jc w:val="both"/>
              <w:rPr/>
            </w:pPr>
            <w:r>
              <w:rPr/>
              <w:t>Delete any reference to any adjustment to baseline load as a result of participating in a PG&amp;E or ISO load reduction program.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jc w:val="both"/>
              <w:rPr/>
            </w:pPr>
            <w:r>
              <w:rPr/>
              <w:t>Clarify that customers who participate in an OBMC plan cannot participate in the ISO’s demand relief program or a PG&amp;E program that aggregates load for the ISO’s program.</w:t>
            </w:r>
          </w:p>
          <w:p>
            <w:pPr>
              <w:pStyle w:val="WW-BodyText2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12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296" w:footer="432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PG&amp;E Advice Letter Summary</w:t>
    </w:r>
  </w:p>
  <w:p>
    <w:pPr>
      <w:pStyle w:val="Header"/>
      <w:rPr/>
    </w:pPr>
    <w:r>
      <w:rPr/>
      <w:t>June 3, 2001</w:t>
    </w:r>
  </w:p>
  <w:p>
    <w:pPr>
      <w:pStyle w:val="Header"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rPr>
        <w:rStyle w:val="PageNumber"/>
        <w:sz w:val="24"/>
        <w:szCs w:val="24"/>
      </w:rPr>
    </w:pPr>
    <w:r>
      <w:rPr/>
    </w:r>
  </w:p>
  <w:p>
    <w:pPr>
      <w:pStyle w:val="Header"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WW-BodyText2">
    <w:name w:val="WW-Body Text 2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ind w:hanging="0" w:start="1620" w:end="1620"/>
      <w:jc w:val="both"/>
    </w:pPr>
    <w:rPr>
      <w:rFonts w:ascii="Arial" w:hAnsi="Arial" w:eastAsia="Arial" w:cs="Arial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2001-06-06T14:50:00Z</dcterms:created>
  <dc:creator>Arter &amp; Hadden</dc:creator>
  <dc:description/>
  <dc:language>en-CA</dc:language>
  <cp:lastModifiedBy>Daniel W. Douglass</cp:lastModifiedBy>
  <cp:lastPrinted>2001-06-03T13:02:00Z</cp:lastPrinted>
  <dcterms:modified xsi:type="dcterms:W3CDTF">2001-06-06T15:51:00Z</dcterms:modified>
  <cp:revision>4</cp:revision>
  <dc:subject/>
  <dc:title>A</dc:title>
</cp:coreProperties>
</file>