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SDG&amp;E Advice Letter Summary</w:t>
      </w:r>
    </w:p>
    <w:p>
      <w:pPr>
        <w:pStyle w:val="Body"/>
        <w:widowControl/>
        <w:ind w:hanging="0" w:end="0"/>
        <w:jc w:val="center"/>
        <w:rPr>
          <w:b/>
          <w:u w:val="single"/>
        </w:rPr>
      </w:pPr>
      <w:r>
        <w:rPr>
          <w:b/>
          <w:u w:val="single"/>
        </w:rPr>
        <w:t>June 3, 2001</w:t>
      </w:r>
      <w:bookmarkStart w:id="0" w:name="zEndAddressee"/>
      <w:bookmarkEnd w:id="0"/>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1324-E-A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5/29/01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6/18/01</w:t>
              <w:b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rPr>
                <w:rFonts w:ascii="Times New Roman" w:hAnsi="Times New Roman" w:cs="Times New Roman"/>
              </w:rPr>
            </w:pPr>
            <w:r>
              <w:rPr>
                <w:rFonts w:cs="Times New Roman" w:ascii="Times New Roman" w:hAnsi="Times New Roman"/>
              </w:rPr>
              <w:t>The purpose of this supplemental filing (which replaces AL1324-E in its entirety) is to comply with Resolution E-3739, which adopted certain modifications to the Scheduled Load Reduction Program (schedule SLRP) proposed by all three utilities, as required by Senate Bill X1-5.  The changes are as follows:</w:t>
            </w:r>
          </w:p>
          <w:p>
            <w:pPr>
              <w:pStyle w:val="Normal"/>
              <w:numPr>
                <w:ilvl w:val="0"/>
                <w:numId w:val="2"/>
              </w:numPr>
              <w:jc w:val="both"/>
              <w:rPr/>
            </w:pPr>
            <w:r>
              <w:rPr/>
              <w:t>SLRP will run from 6/1 – 9/30</w:t>
            </w:r>
          </w:p>
          <w:p>
            <w:pPr>
              <w:pStyle w:val="Normal"/>
              <w:numPr>
                <w:ilvl w:val="0"/>
                <w:numId w:val="2"/>
              </w:numPr>
              <w:jc w:val="both"/>
              <w:rPr/>
            </w:pPr>
            <w:r>
              <w:rPr/>
              <w:t>There will be a morning SLRP period from 8-noon</w:t>
            </w:r>
          </w:p>
          <w:p>
            <w:pPr>
              <w:pStyle w:val="Normal"/>
              <w:numPr>
                <w:ilvl w:val="0"/>
                <w:numId w:val="2"/>
              </w:numPr>
              <w:jc w:val="both"/>
              <w:rPr/>
            </w:pPr>
            <w:r>
              <w:rPr/>
              <w:t>A 10-day rolling baseline is adopted from which all load reduction is measured</w:t>
            </w:r>
          </w:p>
          <w:p>
            <w:pPr>
              <w:pStyle w:val="Normal"/>
              <w:numPr>
                <w:ilvl w:val="0"/>
                <w:numId w:val="2"/>
              </w:numPr>
              <w:jc w:val="both"/>
              <w:rPr/>
            </w:pPr>
            <w:r>
              <w:rPr/>
              <w:t>Adopts a $0.10/kWh incentive level for all event periods</w:t>
            </w:r>
          </w:p>
          <w:p>
            <w:pPr>
              <w:pStyle w:val="Normal"/>
              <w:numPr>
                <w:ilvl w:val="0"/>
                <w:numId w:val="2"/>
              </w:numPr>
              <w:jc w:val="both"/>
              <w:rPr/>
            </w:pPr>
            <w:r>
              <w:rPr/>
              <w:t>Daily cap increased to a max of 30 MW</w:t>
            </w:r>
          </w:p>
          <w:p>
            <w:pPr>
              <w:pStyle w:val="Normal"/>
              <w:numPr>
                <w:ilvl w:val="0"/>
                <w:numId w:val="2"/>
              </w:numPr>
              <w:jc w:val="both"/>
              <w:rPr/>
            </w:pPr>
            <w:r>
              <w:rPr/>
              <w:t>SDG&amp;E will install an interval meter at no cost for participation in SLRP.  Customers must remain in program for a year and fully comply in at least 10 events.</w:t>
            </w:r>
          </w:p>
          <w:p>
            <w:pPr>
              <w:pStyle w:val="Normal"/>
              <w:jc w:val="both"/>
              <w:rPr/>
            </w:pPr>
            <w:r>
              <w:rPr/>
            </w:r>
          </w:p>
          <w:p>
            <w:pPr>
              <w:pStyle w:val="Normal"/>
              <w:widowControl/>
              <w:tabs>
                <w:tab w:val="clear" w:pos="720"/>
                <w:tab w:val="left" w:pos="9180" w:leader="none"/>
              </w:tabs>
              <w:jc w:val="both"/>
              <w:rPr/>
            </w:pPr>
            <w:r>
              <w:rPr/>
              <w:t>Note that no protest day is specified, so 20 days are assumed to be applicable.</w:t>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1330-E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5/29/01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6/18/01</w:t>
            </w:r>
            <w:r>
              <w:rPr>
                <w:b/>
                <w:u w:val="single"/>
              </w:rPr>
              <w:b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Body"/>
              <w:widowControl/>
              <w:spacing w:before="0" w:after="0"/>
              <w:ind w:hanging="0" w:end="0"/>
              <w:rPr>
                <w:b/>
              </w:rPr>
            </w:pPr>
            <w:r>
              <w:rPr>
                <w:b/>
              </w:rPr>
            </w:r>
          </w:p>
          <w:p>
            <w:pPr>
              <w:pStyle w:val="Normal"/>
              <w:rPr/>
            </w:pPr>
            <w:r>
              <w:rPr/>
              <w:t>This advice letter modifies SDG&amp;E’s Optional Binding Mandatory Curtailment Program and Base Interruptible Program in compliance with D.01-05-090, in order to permit OBMC program participants to participate in a utility-operated capacity interruptible program as long as that program requires the reduction of load to a pre-established firm service level.  BIP is being modified to remove a provision that prohibited customers from combining service on BIP with OBMC and to define firm service level.</w:t>
            </w:r>
          </w:p>
          <w:p>
            <w:pPr>
              <w:pStyle w:val="Normal"/>
              <w:widowControl/>
              <w:tabs>
                <w:tab w:val="clear" w:pos="720"/>
                <w:tab w:val="left" w:pos="9180" w:leader="none"/>
              </w:tabs>
              <w:jc w:val="both"/>
              <w:rPr/>
            </w:pPr>
            <w:r>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1331-E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5/31/01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6/20/01</w:t>
              <w:b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widowControl/>
              <w:tabs>
                <w:tab w:val="clear" w:pos="720"/>
                <w:tab w:val="left" w:pos="9180" w:leader="none"/>
              </w:tabs>
              <w:jc w:val="both"/>
              <w:rPr/>
            </w:pPr>
            <w:r>
              <w:rPr/>
              <w:t>The purpose of this filing is to establish the Real-Time Energy Metering Memorandum Account, as authorized by D.01-05-032.  The account will record for future recovery SDG&amp;E’s costs for procurement, installation, operation and maintenance of RTEM equipment.</w:t>
            </w:r>
          </w:p>
          <w:p>
            <w:pPr>
              <w:pStyle w:val="Normal"/>
              <w:widowControl/>
              <w:tabs>
                <w:tab w:val="clear" w:pos="720"/>
                <w:tab w:val="left" w:pos="9180" w:leader="none"/>
              </w:tabs>
              <w:jc w:val="both"/>
              <w:rPr/>
            </w:pPr>
            <w:r>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1332-E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6/1/01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u w:val="single"/>
              </w:rPr>
            </w:pPr>
            <w:r>
              <w:rPr>
                <w:b/>
                <w:bCs/>
                <w:u w:val="single"/>
              </w:rPr>
              <w:t>6/6/01</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pPr>
            <w:r>
              <w:rPr/>
              <w:t xml:space="preserve">This advice letter revises the contracts for the utility’s Base Interruptible Program, the Voluntary Demand Response Program and the Mandatory Pay For Load Program.  The changes are to the limitation of liability section of each contract to more clearly identify the liabilities for damages to the system.  A similar change was recently approved for SDG&amp;E’s Optional Binding Mandatory Curtailment Program.  </w:t>
            </w:r>
            <w:r>
              <w:rPr>
                <w:b/>
                <w:bCs/>
              </w:rPr>
              <w:t>Note the shortened review time.</w:t>
            </w:r>
          </w:p>
          <w:p>
            <w:pPr>
              <w:pStyle w:val="Normal"/>
              <w:widowControl/>
              <w:tabs>
                <w:tab w:val="clear" w:pos="720"/>
                <w:tab w:val="left" w:pos="9180" w:leader="none"/>
              </w:tabs>
              <w:jc w:val="both"/>
              <w:rPr>
                <w:b/>
                <w:bCs/>
              </w:rPr>
            </w:pPr>
            <w:r>
              <w:rPr>
                <w:b/>
                <w:bCs/>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rPr>
    </w:pPr>
    <w:r>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widowControl/>
      <w:rPr>
        <w:rStyle w:val="PageNumber"/>
        <w:sz w:val="24"/>
      </w:rPr>
    </w:pPr>
    <w:r>
      <w:rPr/>
    </w:r>
  </w:p>
  <w:p>
    <w:pPr>
      <w:pStyle w:val="Header"/>
      <w:widowContro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Strong">
    <w:name w:val="Strong"/>
    <w:qFormat/>
    <w:rPr>
      <w:b/>
      <w:sz w:val="20"/>
    </w:rPr>
  </w:style>
  <w:style w:type="character" w:styleId="DocTitle">
    <w:name w:val="DocTitle"/>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1">
    <w:name w:val="Body Text 21"/>
    <w:basedOn w:val="Normal"/>
    <w:qFormat/>
    <w:pPr>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2001-06-03T19:51:00Z</dcterms:created>
  <dc:creator>Arter &amp; Hadden</dc:creator>
  <dc:description/>
  <dc:language>en-CA</dc:language>
  <cp:lastModifiedBy>Daniel W. Douglass</cp:lastModifiedBy>
  <cp:lastPrinted>2001-06-03T15:20:00Z</cp:lastPrinted>
  <dcterms:modified xsi:type="dcterms:W3CDTF">2001-06-03T19:51:00Z</dcterms:modified>
  <cp:revision>2</cp:revision>
  <dc:subject/>
  <dc:title>A</dc:title>
</cp:coreProperties>
</file>