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itlebar"/>
        <w:rPr>
          <w:rFonts w:ascii="Times New Roman" w:hAnsi="Times New Roman" w:cs="Times New Roman"/>
          <w:sz w:val="24"/>
        </w:rPr>
      </w:pPr>
      <w:r>
        <w:rPr>
          <w:rFonts w:cs="Times New Roman" w:ascii="Times New Roman" w:hAnsi="Times New Roman"/>
          <w:sz w:val="24"/>
        </w:rPr>
        <w:t>BEFORE THE PUBLIC UTILITIES COMMISSION</w:t>
      </w:r>
    </w:p>
    <w:p>
      <w:pPr>
        <w:pStyle w:val="titlebar"/>
        <w:rPr>
          <w:rFonts w:ascii="Times New Roman" w:hAnsi="Times New Roman" w:cs="Times New Roman"/>
          <w:sz w:val="24"/>
        </w:rPr>
      </w:pPr>
      <w:r>
        <w:rPr>
          <w:rFonts w:cs="Times New Roman" w:ascii="Times New Roman" w:hAnsi="Times New Roman"/>
          <w:sz w:val="24"/>
        </w:rPr>
        <w:t>OF THE STATE OF CALIFORNIA</w:t>
      </w:r>
    </w:p>
    <w:p>
      <w:pPr>
        <w:pStyle w:val="titlebar"/>
        <w:rPr>
          <w:rFonts w:ascii="Times New Roman" w:hAnsi="Times New Roman" w:cs="Times New Roman"/>
          <w:sz w:val="24"/>
        </w:rPr>
      </w:pPr>
      <w:r>
        <w:rPr>
          <w:rFonts w:cs="Times New Roman" w:ascii="Times New Roman" w:hAnsi="Times New Roman"/>
          <w:sz w:val="24"/>
        </w:rPr>
      </w:r>
    </w:p>
    <w:p>
      <w:pPr>
        <w:pStyle w:val="titlebar"/>
        <w:rPr>
          <w:rFonts w:ascii="Times New Roman" w:hAnsi="Times New Roman" w:cs="Times New Roman"/>
          <w:sz w:val="24"/>
        </w:rPr>
      </w:pPr>
      <w:r>
        <w:rPr>
          <w:rFonts w:cs="Times New Roman" w:ascii="Times New Roman" w:hAnsi="Times New Roman"/>
          <w:sz w:val="24"/>
        </w:rPr>
      </w:r>
    </w:p>
    <w:tbl>
      <w:tblPr>
        <w:tblW w:w="9558" w:type="dxa"/>
        <w:jc w:val="start"/>
        <w:tblInd w:w="0" w:type="dxa"/>
        <w:tblLayout w:type="fixed"/>
        <w:tblCellMar>
          <w:top w:w="0" w:type="dxa"/>
          <w:start w:w="108" w:type="dxa"/>
          <w:bottom w:w="0" w:type="dxa"/>
          <w:end w:w="108" w:type="dxa"/>
        </w:tblCellMar>
      </w:tblPr>
      <w:tblGrid>
        <w:gridCol w:w="5958"/>
        <w:gridCol w:w="3600"/>
      </w:tblGrid>
      <w:tr>
        <w:trPr/>
        <w:tc>
          <w:tcPr>
            <w:tcW w:w="5958" w:type="dxa"/>
            <w:tcBorders>
              <w:bottom w:val="single" w:sz="6" w:space="0" w:color="000000"/>
              <w:end w:val="single" w:sz="6" w:space="0" w:color="000000"/>
            </w:tcBorders>
          </w:tcPr>
          <w:p>
            <w:pPr>
              <w:pStyle w:val="Normal"/>
              <w:tabs>
                <w:tab w:val="clear" w:pos="720"/>
                <w:tab w:val="left" w:pos="1440" w:leader="none"/>
                <w:tab w:val="left" w:pos="3600" w:leader="none"/>
              </w:tabs>
              <w:rPr>
                <w:sz w:val="22"/>
              </w:rPr>
            </w:pPr>
            <w:r>
              <w:rPr>
                <w:sz w:val="22"/>
              </w:rPr>
              <w:t>Application of Pacific Gas and Electric Company for verification, consolidation, and approval of costs and revenues in the transition revenue account.</w:t>
            </w:r>
          </w:p>
          <w:p>
            <w:pPr>
              <w:pStyle w:val="Normal"/>
              <w:rPr>
                <w:sz w:val="22"/>
              </w:rPr>
            </w:pPr>
            <w:r>
              <w:rPr>
                <w:sz w:val="22"/>
              </w:rPr>
            </w:r>
          </w:p>
        </w:tc>
        <w:tc>
          <w:tcPr>
            <w:tcW w:w="3600" w:type="dxa"/>
            <w:tcBorders/>
          </w:tcPr>
          <w:p>
            <w:pPr>
              <w:pStyle w:val="Normal"/>
              <w:snapToGrid w:val="false"/>
              <w:jc w:val="center"/>
              <w:rPr>
                <w:sz w:val="22"/>
              </w:rPr>
            </w:pPr>
            <w:r>
              <w:rPr>
                <w:sz w:val="22"/>
              </w:rPr>
            </w:r>
          </w:p>
          <w:p>
            <w:pPr>
              <w:pStyle w:val="Normal"/>
              <w:jc w:val="center"/>
              <w:rPr>
                <w:sz w:val="22"/>
              </w:rPr>
            </w:pPr>
            <w:r>
              <w:rPr>
                <w:sz w:val="22"/>
              </w:rPr>
              <w:t>Application 98-07-003</w:t>
            </w:r>
          </w:p>
          <w:p>
            <w:pPr>
              <w:pStyle w:val="Normal"/>
              <w:jc w:val="center"/>
              <w:rPr>
                <w:sz w:val="22"/>
              </w:rPr>
            </w:pPr>
            <w:r>
              <w:rPr>
                <w:sz w:val="22"/>
              </w:rPr>
              <w:t>(Filed July 1, 1998)</w:t>
            </w:r>
          </w:p>
        </w:tc>
      </w:tr>
      <w:tr>
        <w:trPr/>
        <w:tc>
          <w:tcPr>
            <w:tcW w:w="5958" w:type="dxa"/>
            <w:tcBorders>
              <w:bottom w:val="single" w:sz="6" w:space="0" w:color="000000"/>
              <w:end w:val="single" w:sz="6" w:space="0" w:color="000000"/>
            </w:tcBorders>
          </w:tcPr>
          <w:p>
            <w:pPr>
              <w:pStyle w:val="Normal"/>
              <w:tabs>
                <w:tab w:val="clear" w:pos="720"/>
                <w:tab w:val="left" w:pos="1440" w:leader="none"/>
                <w:tab w:val="left" w:pos="3600" w:leader="none"/>
              </w:tabs>
              <w:snapToGrid w:val="false"/>
              <w:rPr>
                <w:sz w:val="22"/>
              </w:rPr>
            </w:pPr>
            <w:r>
              <w:rPr>
                <w:sz w:val="22"/>
              </w:rPr>
            </w:r>
          </w:p>
          <w:p>
            <w:pPr>
              <w:pStyle w:val="Normal"/>
              <w:tabs>
                <w:tab w:val="clear" w:pos="720"/>
                <w:tab w:val="left" w:pos="1440" w:leader="none"/>
                <w:tab w:val="left" w:pos="3600" w:leader="none"/>
              </w:tabs>
              <w:rPr>
                <w:sz w:val="22"/>
              </w:rPr>
            </w:pPr>
            <w:r>
              <w:rPr>
                <w:sz w:val="22"/>
              </w:rPr>
              <w:t>In the Matter of The Revenue Adjustment Proceeding (RAP) application of San Diego Gas and Electric Company (U 902-E) for approval of 1) Consolidated changes in 1999 authorized revenue and revised rate components; 2) the CTC rate component and associated headroom calculations; 3) RGTCOMA balances; 4) PX credit computations; 5) disposition of various balancing/memorandum accounts; and 6) electric revenue allocation and rate design changes.</w:t>
            </w:r>
          </w:p>
          <w:p>
            <w:pPr>
              <w:pStyle w:val="Normal"/>
              <w:rPr>
                <w:sz w:val="22"/>
              </w:rPr>
            </w:pPr>
            <w:r>
              <w:rPr>
                <w:sz w:val="22"/>
              </w:rPr>
            </w:r>
          </w:p>
        </w:tc>
        <w:tc>
          <w:tcPr>
            <w:tcW w:w="3600" w:type="dxa"/>
            <w:tcBorders/>
          </w:tcPr>
          <w:p>
            <w:pPr>
              <w:pStyle w:val="Normal"/>
              <w:snapToGrid w:val="false"/>
              <w:jc w:val="center"/>
              <w:rPr>
                <w:sz w:val="22"/>
              </w:rPr>
            </w:pPr>
            <w:r>
              <w:rPr>
                <w:sz w:val="22"/>
              </w:rPr>
            </w:r>
          </w:p>
          <w:p>
            <w:pPr>
              <w:pStyle w:val="Normal"/>
              <w:jc w:val="center"/>
              <w:rPr>
                <w:sz w:val="22"/>
              </w:rPr>
            </w:pPr>
            <w:r>
              <w:rPr>
                <w:sz w:val="22"/>
              </w:rPr>
            </w:r>
          </w:p>
          <w:p>
            <w:pPr>
              <w:pStyle w:val="Normal"/>
              <w:jc w:val="center"/>
              <w:rPr>
                <w:sz w:val="22"/>
              </w:rPr>
            </w:pPr>
            <w:r>
              <w:rPr>
                <w:sz w:val="22"/>
              </w:rPr>
            </w:r>
          </w:p>
          <w:p>
            <w:pPr>
              <w:pStyle w:val="Normal"/>
              <w:jc w:val="center"/>
              <w:rPr>
                <w:sz w:val="22"/>
              </w:rPr>
            </w:pPr>
            <w:r>
              <w:rPr>
                <w:sz w:val="22"/>
              </w:rPr>
            </w:r>
          </w:p>
          <w:p>
            <w:pPr>
              <w:pStyle w:val="Normal"/>
              <w:jc w:val="center"/>
              <w:rPr>
                <w:sz w:val="22"/>
              </w:rPr>
            </w:pPr>
            <w:r>
              <w:rPr>
                <w:sz w:val="22"/>
              </w:rPr>
              <w:t>Application 98-07-006</w:t>
            </w:r>
          </w:p>
          <w:p>
            <w:pPr>
              <w:pStyle w:val="Normal"/>
              <w:jc w:val="center"/>
              <w:rPr>
                <w:sz w:val="22"/>
              </w:rPr>
            </w:pPr>
            <w:r>
              <w:rPr>
                <w:sz w:val="22"/>
              </w:rPr>
              <w:t>(Filed July 1, 1998)</w:t>
            </w:r>
          </w:p>
        </w:tc>
      </w:tr>
      <w:tr>
        <w:trPr/>
        <w:tc>
          <w:tcPr>
            <w:tcW w:w="5958" w:type="dxa"/>
            <w:tcBorders>
              <w:bottom w:val="single" w:sz="6" w:space="0" w:color="000000"/>
              <w:end w:val="single" w:sz="6" w:space="0" w:color="000000"/>
            </w:tcBorders>
          </w:tcPr>
          <w:p>
            <w:pPr>
              <w:pStyle w:val="Normal"/>
              <w:tabs>
                <w:tab w:val="clear" w:pos="720"/>
                <w:tab w:val="left" w:pos="1440" w:leader="none"/>
                <w:tab w:val="left" w:pos="3600" w:leader="none"/>
              </w:tabs>
              <w:snapToGrid w:val="false"/>
              <w:rPr>
                <w:sz w:val="22"/>
              </w:rPr>
            </w:pPr>
            <w:r>
              <w:rPr>
                <w:sz w:val="22"/>
              </w:rPr>
            </w:r>
          </w:p>
          <w:p>
            <w:pPr>
              <w:pStyle w:val="Normal"/>
              <w:tabs>
                <w:tab w:val="clear" w:pos="720"/>
                <w:tab w:val="left" w:pos="1440" w:leader="none"/>
                <w:tab w:val="left" w:pos="3600" w:leader="none"/>
              </w:tabs>
              <w:rPr>
                <w:sz w:val="22"/>
              </w:rPr>
            </w:pPr>
            <w:r>
              <w:rPr>
                <w:sz w:val="22"/>
              </w:rPr>
              <w:t>Application of Southern California Edison Company (U 338-E) to: 1) consolidate authorized rates and revenue requirements; 2) verify residual competition transition charge revenues; 3) review and dispose of amounts in various balancing and memorandum accounts; 4) verify regulatory balances transferred to the transition cost balancing account on January 1, 1998; and 5) propose rate recovery for Santa Catalina Island diesel fuel costs.</w:t>
            </w:r>
          </w:p>
          <w:p>
            <w:pPr>
              <w:pStyle w:val="Normal"/>
              <w:rPr>
                <w:sz w:val="22"/>
              </w:rPr>
            </w:pPr>
            <w:r>
              <w:rPr>
                <w:sz w:val="22"/>
              </w:rPr>
            </w:r>
          </w:p>
        </w:tc>
        <w:tc>
          <w:tcPr>
            <w:tcW w:w="3600" w:type="dxa"/>
            <w:tcBorders/>
          </w:tcPr>
          <w:p>
            <w:pPr>
              <w:pStyle w:val="Normal"/>
              <w:snapToGrid w:val="false"/>
              <w:jc w:val="center"/>
              <w:rPr>
                <w:sz w:val="22"/>
              </w:rPr>
            </w:pPr>
            <w:r>
              <w:rPr>
                <w:sz w:val="22"/>
              </w:rPr>
            </w:r>
          </w:p>
          <w:p>
            <w:pPr>
              <w:pStyle w:val="Normal"/>
              <w:jc w:val="center"/>
              <w:rPr>
                <w:sz w:val="22"/>
              </w:rPr>
            </w:pPr>
            <w:r>
              <w:rPr>
                <w:sz w:val="22"/>
              </w:rPr>
            </w:r>
          </w:p>
          <w:p>
            <w:pPr>
              <w:pStyle w:val="Normal"/>
              <w:jc w:val="center"/>
              <w:rPr>
                <w:sz w:val="22"/>
              </w:rPr>
            </w:pPr>
            <w:r>
              <w:rPr>
                <w:sz w:val="22"/>
              </w:rPr>
            </w:r>
          </w:p>
          <w:p>
            <w:pPr>
              <w:pStyle w:val="Normal"/>
              <w:jc w:val="center"/>
              <w:rPr>
                <w:sz w:val="22"/>
              </w:rPr>
            </w:pPr>
            <w:r>
              <w:rPr>
                <w:sz w:val="22"/>
              </w:rPr>
            </w:r>
          </w:p>
          <w:p>
            <w:pPr>
              <w:pStyle w:val="Normal"/>
              <w:jc w:val="center"/>
              <w:rPr>
                <w:sz w:val="22"/>
              </w:rPr>
            </w:pPr>
            <w:r>
              <w:rPr>
                <w:sz w:val="22"/>
              </w:rPr>
              <w:t>Application 98-07-026</w:t>
            </w:r>
          </w:p>
          <w:p>
            <w:pPr>
              <w:pStyle w:val="Normal"/>
              <w:jc w:val="center"/>
              <w:rPr>
                <w:sz w:val="22"/>
              </w:rPr>
            </w:pPr>
            <w:r>
              <w:rPr>
                <w:sz w:val="22"/>
              </w:rPr>
              <w:t>(Filed July 1, 1998)</w:t>
            </w:r>
          </w:p>
        </w:tc>
      </w:tr>
    </w:tbl>
    <w:p>
      <w:pPr>
        <w:pStyle w:val="Normal"/>
        <w:rPr/>
      </w:pPr>
      <w:r>
        <w:rPr/>
      </w:r>
    </w:p>
    <w:p>
      <w:pPr>
        <w:pStyle w:val="Normal"/>
        <w:rPr/>
      </w:pPr>
      <w:r>
        <w:rPr/>
      </w:r>
    </w:p>
    <w:p>
      <w:pPr>
        <w:pStyle w:val="Normal"/>
        <w:rPr/>
      </w:pPr>
      <w:r>
        <w:rPr/>
      </w:r>
    </w:p>
    <w:p>
      <w:pPr>
        <w:pStyle w:val="Heading1"/>
        <w:rPr/>
      </w:pPr>
      <w:r>
        <w:rPr/>
        <w:t>COMMENTS OF THE ALLIANCE FOR RETAIL ENERGY MARKETS</w:t>
      </w:r>
    </w:p>
    <w:p>
      <w:pPr>
        <w:pStyle w:val="Normal"/>
        <w:jc w:val="center"/>
        <w:rPr>
          <w:b/>
          <w:bCs/>
        </w:rPr>
      </w:pPr>
      <w:r>
        <w:rPr>
          <w:b/>
          <w:bCs/>
        </w:rPr>
        <w:t xml:space="preserve">REGARDING THE DRAFT DECISIONS OF ALJ BARNETT </w:t>
      </w:r>
    </w:p>
    <w:p>
      <w:pPr>
        <w:pStyle w:val="Normal"/>
        <w:jc w:val="center"/>
        <w:rPr>
          <w:b/>
          <w:bCs/>
        </w:rPr>
      </w:pPr>
      <w:r>
        <w:rPr>
          <w:b/>
          <w:bCs/>
        </w:rPr>
        <w:t>AND COMMISSIONER BILAS</w:t>
      </w:r>
    </w:p>
    <w:p>
      <w:pPr>
        <w:pStyle w:val="Normal"/>
        <w:jc w:val="center"/>
        <w:rPr>
          <w:b/>
          <w:bCs/>
        </w:rPr>
      </w:pPr>
      <w:r>
        <w:rPr>
          <w:b/>
          <w:bCs/>
        </w:rPr>
      </w:r>
    </w:p>
    <w:p>
      <w:pPr>
        <w:pStyle w:val="Normal"/>
        <w:jc w:val="center"/>
        <w:rPr>
          <w:b/>
          <w:bCs/>
        </w:rPr>
      </w:pPr>
      <w:r>
        <w:rPr>
          <w:b/>
          <w:bCs/>
        </w:rPr>
      </w:r>
    </w:p>
    <w:p>
      <w:pPr>
        <w:pStyle w:val="Normal"/>
        <w:jc w:val="center"/>
        <w:rPr>
          <w:b/>
          <w:bCs/>
        </w:rPr>
      </w:pPr>
      <w:r>
        <w:rPr>
          <w:b/>
          <w:bCs/>
        </w:rPr>
      </w:r>
    </w:p>
    <w:p>
      <w:pPr>
        <w:pStyle w:val="Normal"/>
        <w:ind w:firstLine="720" w:start="3600" w:end="0"/>
        <w:rPr>
          <w:b/>
          <w:bCs/>
        </w:rPr>
      </w:pPr>
      <w:r>
        <w:rPr>
          <w:b/>
          <w:bCs/>
        </w:rPr>
      </w:r>
    </w:p>
    <w:p>
      <w:pPr>
        <w:pStyle w:val="Normal"/>
        <w:ind w:firstLine="720" w:start="3600" w:end="0"/>
        <w:rPr/>
      </w:pPr>
      <w:r>
        <w:rPr/>
        <w:t>Daniel W. Douglass</w:t>
      </w:r>
    </w:p>
    <w:p>
      <w:pPr>
        <w:pStyle w:val="Normal"/>
        <w:ind w:firstLine="720" w:start="3600" w:end="0"/>
        <w:rPr/>
      </w:pPr>
      <w:r>
        <w:rPr/>
        <w:t>5959 Topanga Canyon Blvd.</w:t>
      </w:r>
    </w:p>
    <w:p>
      <w:pPr>
        <w:pStyle w:val="Normal"/>
        <w:ind w:firstLine="720" w:start="3600" w:end="0"/>
        <w:rPr/>
      </w:pPr>
      <w:r>
        <w:rPr/>
        <w:t>Suite 244</w:t>
      </w:r>
    </w:p>
    <w:p>
      <w:pPr>
        <w:pStyle w:val="Normal"/>
        <w:ind w:firstLine="720" w:start="3600" w:end="0"/>
        <w:rPr/>
      </w:pPr>
      <w:r>
        <w:rPr/>
        <w:t>Woodland Hills, CA 91367</w:t>
      </w:r>
    </w:p>
    <w:p>
      <w:pPr>
        <w:pStyle w:val="Normal"/>
        <w:ind w:firstLine="720" w:start="3600" w:end="0"/>
        <w:rPr/>
      </w:pPr>
      <w:r>
        <w:rPr/>
        <w:t>Telephone (818) 596-2201</w:t>
      </w:r>
    </w:p>
    <w:p>
      <w:pPr>
        <w:pStyle w:val="Normal"/>
        <w:ind w:firstLine="720" w:start="3600" w:end="0"/>
        <w:rPr/>
      </w:pPr>
      <w:r>
        <w:rPr/>
        <w:t>Facsimile (818) 346-6502</w:t>
      </w:r>
    </w:p>
    <w:p>
      <w:pPr>
        <w:pStyle w:val="Normal"/>
        <w:ind w:firstLine="720" w:end="0"/>
        <w:rPr/>
      </w:pPr>
      <w:r>
        <w:rPr/>
      </w:r>
    </w:p>
    <w:p>
      <w:pPr>
        <w:pStyle w:val="Normal"/>
        <w:ind w:firstLine="720" w:start="3600" w:end="0"/>
        <w:rPr/>
      </w:pPr>
      <w:r>
        <w:rPr/>
        <w:t>Attorney for the</w:t>
      </w:r>
    </w:p>
    <w:p>
      <w:pPr>
        <w:pStyle w:val="Normal"/>
        <w:ind w:firstLine="720" w:start="3600" w:end="-180"/>
        <w:rPr/>
      </w:pPr>
      <w:r>
        <w:rPr/>
        <w:t>ALLIANCE FOR RETAIL ENERGY MARKETS</w:t>
      </w:r>
    </w:p>
    <w:p>
      <w:pPr>
        <w:pStyle w:val="Heading4"/>
        <w:jc w:val="start"/>
        <w:rPr>
          <w:rFonts w:ascii="Times New Roman" w:hAnsi="Times New Roman" w:cs="Times New Roman"/>
        </w:rPr>
      </w:pPr>
      <w:r>
        <w:rPr>
          <w:rFonts w:cs="Times New Roman" w:ascii="Times New Roman" w:hAnsi="Times New Roman"/>
        </w:rPr>
      </w:r>
    </w:p>
    <w:p>
      <w:pPr>
        <w:pStyle w:val="Heading4"/>
        <w:jc w:val="start"/>
        <w:rPr>
          <w:rFonts w:ascii="Times New Roman" w:hAnsi="Times New Roman" w:cs="Times New Roman"/>
        </w:rPr>
      </w:pPr>
      <w:r>
        <w:rPr>
          <w:rFonts w:cs="Times New Roman" w:ascii="Times New Roman" w:hAnsi="Times New Roman"/>
        </w:rPr>
        <w:t>June 25, 2001</w:t>
      </w:r>
      <w:r>
        <w:br w:type="page"/>
      </w:r>
    </w:p>
    <w:p>
      <w:pPr>
        <w:pStyle w:val="titlebar"/>
        <w:rPr>
          <w:rFonts w:ascii="Times New Roman" w:hAnsi="Times New Roman" w:cs="Times New Roman"/>
          <w:sz w:val="24"/>
        </w:rPr>
      </w:pPr>
      <w:r>
        <w:rPr>
          <w:rFonts w:cs="Times New Roman" w:ascii="Times New Roman" w:hAnsi="Times New Roman"/>
          <w:sz w:val="24"/>
        </w:rPr>
        <w:t>BEFORE THE PUBLIC UTILITIES COMMISSION</w:t>
      </w:r>
    </w:p>
    <w:p>
      <w:pPr>
        <w:pStyle w:val="titlebar"/>
        <w:rPr>
          <w:rFonts w:ascii="Times New Roman" w:hAnsi="Times New Roman" w:cs="Times New Roman"/>
          <w:sz w:val="24"/>
        </w:rPr>
      </w:pPr>
      <w:r>
        <w:rPr>
          <w:rFonts w:cs="Times New Roman" w:ascii="Times New Roman" w:hAnsi="Times New Roman"/>
          <w:sz w:val="24"/>
        </w:rPr>
        <w:t>OF THE STATE OF CALIFORNIA</w:t>
      </w:r>
    </w:p>
    <w:p>
      <w:pPr>
        <w:pStyle w:val="titlebar"/>
        <w:rPr>
          <w:rFonts w:ascii="Times New Roman" w:hAnsi="Times New Roman" w:cs="Times New Roman"/>
          <w:sz w:val="24"/>
        </w:rPr>
      </w:pPr>
      <w:r>
        <w:rPr>
          <w:rFonts w:cs="Times New Roman" w:ascii="Times New Roman" w:hAnsi="Times New Roman"/>
          <w:sz w:val="24"/>
        </w:rPr>
      </w:r>
    </w:p>
    <w:tbl>
      <w:tblPr>
        <w:tblW w:w="9558" w:type="dxa"/>
        <w:jc w:val="start"/>
        <w:tblInd w:w="0" w:type="dxa"/>
        <w:tblLayout w:type="fixed"/>
        <w:tblCellMar>
          <w:top w:w="0" w:type="dxa"/>
          <w:start w:w="108" w:type="dxa"/>
          <w:bottom w:w="0" w:type="dxa"/>
          <w:end w:w="108" w:type="dxa"/>
        </w:tblCellMar>
      </w:tblPr>
      <w:tblGrid>
        <w:gridCol w:w="5958"/>
        <w:gridCol w:w="3600"/>
      </w:tblGrid>
      <w:tr>
        <w:trPr/>
        <w:tc>
          <w:tcPr>
            <w:tcW w:w="5958" w:type="dxa"/>
            <w:tcBorders>
              <w:bottom w:val="single" w:sz="6" w:space="0" w:color="000000"/>
              <w:end w:val="single" w:sz="6" w:space="0" w:color="000000"/>
            </w:tcBorders>
          </w:tcPr>
          <w:p>
            <w:pPr>
              <w:pStyle w:val="Normal"/>
              <w:tabs>
                <w:tab w:val="clear" w:pos="720"/>
                <w:tab w:val="left" w:pos="1440" w:leader="none"/>
                <w:tab w:val="left" w:pos="3600" w:leader="none"/>
              </w:tabs>
              <w:rPr>
                <w:sz w:val="22"/>
              </w:rPr>
            </w:pPr>
            <w:r>
              <w:rPr>
                <w:sz w:val="22"/>
              </w:rPr>
              <w:t>Application of Pacific Gas and Electric Company for verification, consolidation, and approval of costs and revenues in the transition revenue account.</w:t>
            </w:r>
          </w:p>
          <w:p>
            <w:pPr>
              <w:pStyle w:val="Normal"/>
              <w:rPr>
                <w:sz w:val="22"/>
              </w:rPr>
            </w:pPr>
            <w:r>
              <w:rPr>
                <w:sz w:val="22"/>
              </w:rPr>
            </w:r>
          </w:p>
        </w:tc>
        <w:tc>
          <w:tcPr>
            <w:tcW w:w="3600" w:type="dxa"/>
            <w:tcBorders/>
          </w:tcPr>
          <w:p>
            <w:pPr>
              <w:pStyle w:val="Normal"/>
              <w:snapToGrid w:val="false"/>
              <w:jc w:val="center"/>
              <w:rPr>
                <w:sz w:val="22"/>
              </w:rPr>
            </w:pPr>
            <w:r>
              <w:rPr>
                <w:sz w:val="22"/>
              </w:rPr>
            </w:r>
          </w:p>
          <w:p>
            <w:pPr>
              <w:pStyle w:val="Normal"/>
              <w:jc w:val="center"/>
              <w:rPr>
                <w:sz w:val="22"/>
              </w:rPr>
            </w:pPr>
            <w:r>
              <w:rPr>
                <w:sz w:val="22"/>
              </w:rPr>
              <w:t>Application 98-07-003</w:t>
            </w:r>
          </w:p>
          <w:p>
            <w:pPr>
              <w:pStyle w:val="Normal"/>
              <w:jc w:val="center"/>
              <w:rPr>
                <w:sz w:val="22"/>
              </w:rPr>
            </w:pPr>
            <w:r>
              <w:rPr>
                <w:sz w:val="22"/>
              </w:rPr>
              <w:t>(Filed July 1, 1998)</w:t>
            </w:r>
          </w:p>
        </w:tc>
      </w:tr>
      <w:tr>
        <w:trPr/>
        <w:tc>
          <w:tcPr>
            <w:tcW w:w="5958" w:type="dxa"/>
            <w:tcBorders>
              <w:bottom w:val="single" w:sz="6" w:space="0" w:color="000000"/>
              <w:end w:val="single" w:sz="6" w:space="0" w:color="000000"/>
            </w:tcBorders>
          </w:tcPr>
          <w:p>
            <w:pPr>
              <w:pStyle w:val="Normal"/>
              <w:tabs>
                <w:tab w:val="clear" w:pos="720"/>
                <w:tab w:val="left" w:pos="1440" w:leader="none"/>
                <w:tab w:val="left" w:pos="3600" w:leader="none"/>
              </w:tabs>
              <w:snapToGrid w:val="false"/>
              <w:rPr>
                <w:sz w:val="22"/>
              </w:rPr>
            </w:pPr>
            <w:r>
              <w:rPr>
                <w:sz w:val="22"/>
              </w:rPr>
            </w:r>
          </w:p>
          <w:p>
            <w:pPr>
              <w:pStyle w:val="Normal"/>
              <w:tabs>
                <w:tab w:val="clear" w:pos="720"/>
                <w:tab w:val="left" w:pos="1440" w:leader="none"/>
                <w:tab w:val="left" w:pos="3600" w:leader="none"/>
              </w:tabs>
              <w:rPr>
                <w:sz w:val="22"/>
              </w:rPr>
            </w:pPr>
            <w:r>
              <w:rPr>
                <w:sz w:val="22"/>
              </w:rPr>
              <w:t>In the Matter of The Revenue Adjustment Proceeding (RAP) application of San Diego Gas and Electric Company (U 902-E) for approval of 1) Consolidated changes in 1999 authorized revenue and revised rate components; 2) the CTC rate component and associated headroom calculations; 3) RGTCOMA balances; 4) PX credit computations; 5) disposition of various balancing/memorandum accounts; and 6) electric revenue allocation and rate design changes.</w:t>
            </w:r>
          </w:p>
          <w:p>
            <w:pPr>
              <w:pStyle w:val="Normal"/>
              <w:rPr>
                <w:sz w:val="22"/>
              </w:rPr>
            </w:pPr>
            <w:r>
              <w:rPr>
                <w:sz w:val="22"/>
              </w:rPr>
            </w:r>
          </w:p>
        </w:tc>
        <w:tc>
          <w:tcPr>
            <w:tcW w:w="3600" w:type="dxa"/>
            <w:tcBorders/>
          </w:tcPr>
          <w:p>
            <w:pPr>
              <w:pStyle w:val="Normal"/>
              <w:snapToGrid w:val="false"/>
              <w:jc w:val="center"/>
              <w:rPr>
                <w:sz w:val="22"/>
              </w:rPr>
            </w:pPr>
            <w:r>
              <w:rPr>
                <w:sz w:val="22"/>
              </w:rPr>
            </w:r>
          </w:p>
          <w:p>
            <w:pPr>
              <w:pStyle w:val="Normal"/>
              <w:jc w:val="center"/>
              <w:rPr>
                <w:sz w:val="22"/>
              </w:rPr>
            </w:pPr>
            <w:r>
              <w:rPr>
                <w:sz w:val="22"/>
              </w:rPr>
            </w:r>
          </w:p>
          <w:p>
            <w:pPr>
              <w:pStyle w:val="Normal"/>
              <w:jc w:val="center"/>
              <w:rPr>
                <w:sz w:val="22"/>
              </w:rPr>
            </w:pPr>
            <w:r>
              <w:rPr>
                <w:sz w:val="22"/>
              </w:rPr>
            </w:r>
          </w:p>
          <w:p>
            <w:pPr>
              <w:pStyle w:val="Normal"/>
              <w:jc w:val="center"/>
              <w:rPr>
                <w:sz w:val="22"/>
              </w:rPr>
            </w:pPr>
            <w:r>
              <w:rPr>
                <w:sz w:val="22"/>
              </w:rPr>
            </w:r>
          </w:p>
          <w:p>
            <w:pPr>
              <w:pStyle w:val="Normal"/>
              <w:jc w:val="center"/>
              <w:rPr>
                <w:sz w:val="22"/>
              </w:rPr>
            </w:pPr>
            <w:r>
              <w:rPr>
                <w:sz w:val="22"/>
              </w:rPr>
              <w:t>Application 98-07-006</w:t>
            </w:r>
          </w:p>
          <w:p>
            <w:pPr>
              <w:pStyle w:val="Normal"/>
              <w:jc w:val="center"/>
              <w:rPr>
                <w:sz w:val="22"/>
              </w:rPr>
            </w:pPr>
            <w:r>
              <w:rPr>
                <w:sz w:val="22"/>
              </w:rPr>
              <w:t>(Filed July 1, 1998)</w:t>
            </w:r>
          </w:p>
        </w:tc>
      </w:tr>
      <w:tr>
        <w:trPr/>
        <w:tc>
          <w:tcPr>
            <w:tcW w:w="5958" w:type="dxa"/>
            <w:tcBorders>
              <w:bottom w:val="single" w:sz="6" w:space="0" w:color="000000"/>
              <w:end w:val="single" w:sz="6" w:space="0" w:color="000000"/>
            </w:tcBorders>
          </w:tcPr>
          <w:p>
            <w:pPr>
              <w:pStyle w:val="Normal"/>
              <w:tabs>
                <w:tab w:val="clear" w:pos="720"/>
                <w:tab w:val="left" w:pos="1440" w:leader="none"/>
                <w:tab w:val="left" w:pos="3600" w:leader="none"/>
              </w:tabs>
              <w:snapToGrid w:val="false"/>
              <w:rPr>
                <w:sz w:val="22"/>
              </w:rPr>
            </w:pPr>
            <w:r>
              <w:rPr>
                <w:sz w:val="22"/>
              </w:rPr>
            </w:r>
          </w:p>
          <w:p>
            <w:pPr>
              <w:pStyle w:val="Normal"/>
              <w:tabs>
                <w:tab w:val="clear" w:pos="720"/>
                <w:tab w:val="left" w:pos="1440" w:leader="none"/>
                <w:tab w:val="left" w:pos="3600" w:leader="none"/>
              </w:tabs>
              <w:rPr>
                <w:sz w:val="22"/>
              </w:rPr>
            </w:pPr>
            <w:r>
              <w:rPr>
                <w:sz w:val="22"/>
              </w:rPr>
              <w:t>Application of Southern California Edison Company (U 338-E) to: 1) consolidate authorized rates and revenue requirements; 2) verify residual competition transition charge revenues; 3) review and dispose of amounts in various balancing and memorandum accounts; 4) verify regulatory balances transferred to the transition cost balancing account on January 1, 1998; and 5) propose rate recovery for Santa Catalina Island diesel fuel costs.</w:t>
            </w:r>
          </w:p>
          <w:p>
            <w:pPr>
              <w:pStyle w:val="Normal"/>
              <w:rPr>
                <w:sz w:val="22"/>
              </w:rPr>
            </w:pPr>
            <w:r>
              <w:rPr>
                <w:sz w:val="22"/>
              </w:rPr>
            </w:r>
          </w:p>
        </w:tc>
        <w:tc>
          <w:tcPr>
            <w:tcW w:w="3600" w:type="dxa"/>
            <w:tcBorders/>
          </w:tcPr>
          <w:p>
            <w:pPr>
              <w:pStyle w:val="Normal"/>
              <w:snapToGrid w:val="false"/>
              <w:jc w:val="center"/>
              <w:rPr>
                <w:sz w:val="22"/>
              </w:rPr>
            </w:pPr>
            <w:r>
              <w:rPr>
                <w:sz w:val="22"/>
              </w:rPr>
            </w:r>
          </w:p>
          <w:p>
            <w:pPr>
              <w:pStyle w:val="Normal"/>
              <w:jc w:val="center"/>
              <w:rPr>
                <w:sz w:val="22"/>
              </w:rPr>
            </w:pPr>
            <w:r>
              <w:rPr>
                <w:sz w:val="22"/>
              </w:rPr>
            </w:r>
          </w:p>
          <w:p>
            <w:pPr>
              <w:pStyle w:val="Normal"/>
              <w:jc w:val="center"/>
              <w:rPr>
                <w:sz w:val="22"/>
              </w:rPr>
            </w:pPr>
            <w:r>
              <w:rPr>
                <w:sz w:val="22"/>
              </w:rPr>
            </w:r>
          </w:p>
          <w:p>
            <w:pPr>
              <w:pStyle w:val="Normal"/>
              <w:jc w:val="center"/>
              <w:rPr>
                <w:sz w:val="22"/>
              </w:rPr>
            </w:pPr>
            <w:r>
              <w:rPr>
                <w:sz w:val="22"/>
              </w:rPr>
            </w:r>
          </w:p>
          <w:p>
            <w:pPr>
              <w:pStyle w:val="Normal"/>
              <w:jc w:val="center"/>
              <w:rPr>
                <w:sz w:val="22"/>
              </w:rPr>
            </w:pPr>
            <w:r>
              <w:rPr>
                <w:sz w:val="22"/>
              </w:rPr>
              <w:t>Application 98-07-026</w:t>
            </w:r>
          </w:p>
          <w:p>
            <w:pPr>
              <w:pStyle w:val="Normal"/>
              <w:jc w:val="center"/>
              <w:rPr>
                <w:sz w:val="22"/>
              </w:rPr>
            </w:pPr>
            <w:r>
              <w:rPr>
                <w:sz w:val="22"/>
              </w:rPr>
              <w:t>(Filed July 1, 1998)</w:t>
            </w:r>
          </w:p>
        </w:tc>
      </w:tr>
    </w:tbl>
    <w:p>
      <w:pPr>
        <w:pStyle w:val="Normal"/>
        <w:rPr/>
      </w:pPr>
      <w:r>
        <w:rPr/>
      </w:r>
    </w:p>
    <w:p>
      <w:pPr>
        <w:pStyle w:val="Normal"/>
        <w:rPr/>
      </w:pPr>
      <w:r>
        <w:rPr/>
      </w:r>
    </w:p>
    <w:p>
      <w:pPr>
        <w:pStyle w:val="Heading1"/>
        <w:rPr/>
      </w:pPr>
      <w:r>
        <w:rPr/>
        <w:t>COMMENTS OF THE ALLIANCE FOR RETAIL ENERGY MARKETS</w:t>
      </w:r>
    </w:p>
    <w:p>
      <w:pPr>
        <w:pStyle w:val="Heading4"/>
        <w:rPr>
          <w:rFonts w:ascii="Times New Roman" w:hAnsi="Times New Roman" w:cs="Times New Roman"/>
          <w:b/>
          <w:bCs/>
        </w:rPr>
      </w:pPr>
      <w:r>
        <w:rPr>
          <w:rFonts w:cs="Times New Roman" w:ascii="Times New Roman" w:hAnsi="Times New Roman"/>
          <w:b/>
          <w:bCs/>
        </w:rPr>
        <w:t xml:space="preserve">REGARDING THE DRAFT DECISIONS OF ALJ BARNETT </w:t>
      </w:r>
    </w:p>
    <w:p>
      <w:pPr>
        <w:pStyle w:val="Heading4"/>
        <w:rPr>
          <w:rFonts w:ascii="Times New Roman" w:hAnsi="Times New Roman" w:cs="Times New Roman"/>
        </w:rPr>
      </w:pPr>
      <w:r>
        <w:rPr>
          <w:rFonts w:cs="Times New Roman" w:ascii="Times New Roman" w:hAnsi="Times New Roman"/>
          <w:b/>
          <w:bCs/>
        </w:rPr>
        <w:t>AND COMMISSIONER BILAS</w:t>
      </w:r>
    </w:p>
    <w:p>
      <w:pPr>
        <w:pStyle w:val="Normal"/>
        <w:rPr>
          <w:rFonts w:ascii="Times New Roman" w:hAnsi="Times New Roman" w:cs="Times New Roman"/>
          <w:b/>
          <w:bCs/>
        </w:rPr>
      </w:pPr>
      <w:r>
        <w:rPr>
          <w:rFonts w:cs="Times New Roman"/>
          <w:b/>
          <w:bCs/>
        </w:rPr>
      </w:r>
    </w:p>
    <w:p>
      <w:pPr>
        <w:pStyle w:val="BodyText"/>
        <w:widowControl/>
        <w:ind w:firstLine="720" w:end="0"/>
        <w:jc w:val="both"/>
        <w:rPr/>
      </w:pPr>
      <w:r>
        <w:rPr/>
        <w:t xml:space="preserve">Pursuant to Rule 77 of the Commission’s Rules of Practice and Procedure, the Alliance for Retail Energy Markets </w:t>
      </w:r>
      <w:r>
        <w:rPr>
          <w:rStyle w:val="FootnoteCharacters"/>
          <w:rStyle w:val="FootnoteReference"/>
        </w:rPr>
        <w:footnoteReference w:id="2"/>
      </w:r>
      <w:r>
        <w:rPr/>
        <w:t xml:space="preserve"> (“AReM”) hereby provides its comments concerning the June 15, 2001, Draft Decision of Administrative Law Judge Barnett (“DD”) and the Alternate Draft Decision of Commissioner Bilas (“ADD”) of the same date.  Both draft decisions deal with the January 25, 2001, Petition for Expedited Modification of D.99-06-058 (the “Petition”) filed by Southern California Edison Company (“SCE”).  D.99-06-058 was issued in connection with the Commission’s 1998 Revenue Adjustment Proceeding.  Pursuant to a compromise and stipulation between SCE, WPTF, and Enron, which was approved in D.99-06-058 (“Stipulation”), the parties agreed to the elimination of the zero minimum bill provision of SCE’s tariffs so that direct access customers would start receiving credits for the entire negative amount of the bill.  In its Petition, SCE asked the Commission to authorize a temporary suspension of payment of PX Energy Credits to Energy Service Providers (“ESPs”) under the Stipulation.   The utility’s justification for its request was that there has been, “a radical increase in the PX energy charge in recent months.” Both the DD and the ADD would grant the SCE Petition.  </w:t>
      </w:r>
    </w:p>
    <w:p>
      <w:pPr>
        <w:pStyle w:val="BodyText"/>
        <w:widowControl/>
        <w:ind w:firstLine="720" w:end="0"/>
        <w:jc w:val="both"/>
        <w:rPr/>
      </w:pPr>
      <w:r>
        <w:rPr/>
        <w:t xml:space="preserve">The DD takes the additional step (which is entirely unrelated to the SCE Petition) of directing that the right of customers to opt for direct access should be suspended effective July 1, 2001, except for written contracts executed prior to July 1, 2001.  It takes this action pursuant to provisions of Assembly Bill (“AB”) 1X which, among other things, added Section 80110 to the Water Code and required that the Department of Water Resources (“DWR”) procure electricity on behalf of California utilities.  </w:t>
      </w:r>
    </w:p>
    <w:p>
      <w:pPr>
        <w:pStyle w:val="standard"/>
        <w:spacing w:lineRule="auto" w:line="480"/>
        <w:jc w:val="both"/>
        <w:rPr>
          <w:rFonts w:ascii="Times New Roman" w:hAnsi="Times New Roman" w:cs="Times New Roman"/>
          <w:sz w:val="24"/>
        </w:rPr>
      </w:pPr>
      <w:r>
        <w:rPr>
          <w:rFonts w:cs="Times New Roman" w:ascii="Times New Roman" w:hAnsi="Times New Roman"/>
          <w:sz w:val="24"/>
        </w:rPr>
        <w:t>By contrast, the ADD attaches is a memorandum from the State Treasurer, the Department of Finance and the DWR expressing their concerns about the impact of a continuation of direct access on the salability of the DWR Power Purchase Revenue Bonds authorized recently by the Legislature.  The ADD notes that there are alternate options to suspending direct access, such as the Legislature acting to revise AB 1X to permit direct access to continue with conditions resolving their concerns.  The ADD then seeks comments which address: 1) whether there is any way the Commission may act to accommodate those concerns besides suspension without violating Water Code Section 80110; 2) whether less onerous conditions can resolve the concerns and, if so, why and how; and 3) the impact of the conditions proposed in the memo on direct access and resolution of market dysfunction.  The ADD also solicits comments concerning a modification of D.99-06-058 to adopt a bottoms-up calculation for direct access customers.  AReM supports the ADD’s proposal with regard to both the suspension of direct access and the move to a bottoms-up rate calculation.</w:t>
      </w:r>
    </w:p>
    <w:p>
      <w:pPr>
        <w:pStyle w:val="standard"/>
        <w:spacing w:lineRule="auto" w:line="480"/>
        <w:jc w:val="both"/>
        <w:rPr>
          <w:rFonts w:ascii="Times New Roman" w:hAnsi="Times New Roman" w:cs="Times New Roman"/>
          <w:sz w:val="24"/>
        </w:rPr>
      </w:pPr>
      <w:r>
        <w:rPr>
          <w:rFonts w:cs="Times New Roman" w:ascii="Times New Roman" w:hAnsi="Times New Roman"/>
          <w:sz w:val="24"/>
        </w:rPr>
      </w:r>
    </w:p>
    <w:p>
      <w:pPr>
        <w:pStyle w:val="standard"/>
        <w:spacing w:lineRule="auto" w:line="480"/>
        <w:ind w:hanging="0" w:end="0"/>
        <w:jc w:val="center"/>
        <w:rPr/>
      </w:pPr>
      <w:r>
        <w:rPr>
          <w:rFonts w:cs="Times New Roman" w:ascii="Times New Roman" w:hAnsi="Times New Roman"/>
          <w:b/>
          <w:bCs/>
          <w:sz w:val="24"/>
        </w:rPr>
        <w:t xml:space="preserve">I.  </w:t>
      </w:r>
      <w:r>
        <w:rPr>
          <w:rFonts w:cs="Times New Roman" w:ascii="Times New Roman" w:hAnsi="Times New Roman"/>
          <w:b/>
          <w:bCs/>
          <w:sz w:val="24"/>
          <w:u w:val="single"/>
        </w:rPr>
        <w:t>Summary of AReM’s Comments</w:t>
      </w:r>
    </w:p>
    <w:p>
      <w:pPr>
        <w:pStyle w:val="BodyText"/>
        <w:widowControl/>
        <w:ind w:firstLine="720" w:end="0"/>
        <w:jc w:val="both"/>
        <w:rPr/>
      </w:pPr>
      <w:r>
        <w:rPr/>
        <w:t>AReM believes that both the DD and the ADD err with regard to the SCE Petition and the PX credit issue.  The analysis is faulty, the remedy lacks specificity and the financial impact on direct access customers has been completely ignored.  With regard to the suspension of direct access, AReM supports the ADD.  It is clear that further action by the Legislature is pending and there are other options, as suggested by the ADD, to remedy the concerns of DWR.  As requested in the ADD, AReM responds herein to the request for input on alternate means for satisfying the DWR’s concerns.  AReM also strongly supports the ADD’s call for a move to a bottom’s-up rate methodology for direct access customers.</w:t>
      </w:r>
    </w:p>
    <w:p>
      <w:pPr>
        <w:pStyle w:val="BodyText"/>
        <w:widowControl/>
        <w:ind w:firstLine="720" w:end="0"/>
        <w:jc w:val="both"/>
        <w:rPr/>
      </w:pPr>
      <w:r>
        <w:rPr/>
      </w:r>
    </w:p>
    <w:p>
      <w:pPr>
        <w:pStyle w:val="BodyText"/>
        <w:widowControl/>
        <w:ind w:hanging="0" w:end="0"/>
        <w:jc w:val="center"/>
        <w:rPr/>
      </w:pPr>
      <w:r>
        <w:rPr>
          <w:b/>
          <w:bCs/>
        </w:rPr>
        <w:t xml:space="preserve">II.  </w:t>
      </w:r>
      <w:r>
        <w:rPr>
          <w:b/>
          <w:bCs/>
          <w:u w:val="single"/>
        </w:rPr>
        <w:t>Both Decisions Err with Regard to the SCE Petition</w:t>
      </w:r>
    </w:p>
    <w:p>
      <w:pPr>
        <w:pStyle w:val="Normal"/>
        <w:spacing w:lineRule="auto" w:line="480"/>
        <w:ind w:firstLine="720" w:end="0"/>
        <w:rPr/>
      </w:pPr>
      <w:r>
        <w:rPr/>
        <w:t>Both the DD and the ADD reach the wrong conclusion with regard to the SCE Petition.  The Petition should be rejected, for the following reasons:</w:t>
      </w:r>
    </w:p>
    <w:p>
      <w:pPr>
        <w:pStyle w:val="Normal"/>
        <w:numPr>
          <w:ilvl w:val="0"/>
          <w:numId w:val="1"/>
        </w:numPr>
        <w:spacing w:lineRule="auto" w:line="480"/>
        <w:jc w:val="both"/>
        <w:rPr/>
      </w:pPr>
      <w:r>
        <w:rPr/>
        <w:t xml:space="preserve">The finding of fact that “direct access customers are being subsidized by SCE” is in error.  If there is any subsidy, it is caused by the existence of frozen rates, and the subsidy is equally applicable to </w:t>
      </w:r>
      <w:r>
        <w:rPr>
          <w:u w:val="single"/>
        </w:rPr>
        <w:t>both</w:t>
      </w:r>
      <w:r>
        <w:rPr/>
        <w:t xml:space="preserve"> bundled and direct access customers.  Moreover, it is far more likely that a continual subsidy has been flowing </w:t>
      </w:r>
      <w:r>
        <w:rPr>
          <w:u w:val="single"/>
        </w:rPr>
        <w:t>from</w:t>
      </w:r>
      <w:r>
        <w:rPr/>
        <w:t xml:space="preserve"> direct access customers </w:t>
      </w:r>
      <w:r>
        <w:rPr>
          <w:u w:val="single"/>
        </w:rPr>
        <w:t>to</w:t>
      </w:r>
      <w:r>
        <w:rPr/>
        <w:t xml:space="preserve"> bundled customers, due to the utilities’ prior avoidance of high cost power on the margin, which it would otherwise have purchased for direct access customers</w:t>
      </w:r>
    </w:p>
    <w:p>
      <w:pPr>
        <w:pStyle w:val="Normal"/>
        <w:numPr>
          <w:ilvl w:val="0"/>
          <w:numId w:val="1"/>
        </w:numPr>
        <w:spacing w:lineRule="auto" w:line="480"/>
        <w:jc w:val="both"/>
        <w:rPr/>
      </w:pPr>
      <w:r>
        <w:rPr/>
        <w:t>The DD and the ADD are imprecise with regard to a number of vital issues that critically affect both direct access customers and the ESPs who serve them.</w:t>
      </w:r>
    </w:p>
    <w:p>
      <w:pPr>
        <w:pStyle w:val="Normal"/>
        <w:numPr>
          <w:ilvl w:val="0"/>
          <w:numId w:val="1"/>
        </w:numPr>
        <w:spacing w:lineRule="auto" w:line="480"/>
        <w:jc w:val="both"/>
        <w:rPr/>
      </w:pPr>
      <w:r>
        <w:rPr/>
        <w:t xml:space="preserve">The utility offers no subjective criteria that could be used to determine when its liquidity crisis has ended. </w:t>
      </w:r>
    </w:p>
    <w:p>
      <w:pPr>
        <w:pStyle w:val="Normal"/>
        <w:numPr>
          <w:ilvl w:val="0"/>
          <w:numId w:val="1"/>
        </w:numPr>
        <w:spacing w:lineRule="auto" w:line="480"/>
        <w:jc w:val="both"/>
        <w:rPr/>
      </w:pPr>
      <w:r>
        <w:rPr/>
        <w:t>The payment of PX credits is currently before the Commission in the form of complaints filed by APS Energy Services (“APSES”), Enron Energy Services, Inc. and Enron Energy Marketing Corp. (“Enron”) and ABAG Publicly Owned Energy Resources (“ABAG”).  It is improper to pre-determine the outcome of those complaints by adopting either of the draft decisions.</w:t>
      </w:r>
    </w:p>
    <w:p>
      <w:pPr>
        <w:pStyle w:val="Normal"/>
        <w:numPr>
          <w:ilvl w:val="0"/>
          <w:numId w:val="2"/>
        </w:numPr>
        <w:spacing w:lineRule="auto" w:line="480"/>
        <w:rPr/>
      </w:pPr>
      <w:r>
        <w:rPr/>
        <w:t>The Petition is procedurally defective, in that it fails to comply with several elements of the Commission’s Rules of Practice and Procedure relating to petitions for modification and stipulations.</w:t>
      </w:r>
    </w:p>
    <w:p>
      <w:pPr>
        <w:pStyle w:val="BodyText"/>
        <w:widowControl/>
        <w:ind w:firstLine="720" w:end="0"/>
        <w:jc w:val="both"/>
        <w:rPr>
          <w:b/>
          <w:bCs/>
        </w:rPr>
      </w:pPr>
      <w:r>
        <w:rPr>
          <w:b/>
          <w:bCs/>
        </w:rPr>
      </w:r>
    </w:p>
    <w:p>
      <w:pPr>
        <w:pStyle w:val="BodyText"/>
        <w:widowControl/>
        <w:ind w:firstLine="720" w:end="0"/>
        <w:jc w:val="both"/>
        <w:rPr/>
      </w:pPr>
      <w:r>
        <w:rPr>
          <w:b/>
          <w:bCs/>
        </w:rPr>
        <w:t xml:space="preserve">A.  </w:t>
      </w:r>
      <w:r>
        <w:rPr>
          <w:b/>
          <w:bCs/>
          <w:u w:val="single"/>
        </w:rPr>
        <w:t>There is No Subsidy of Direct Access Customers</w:t>
      </w:r>
      <w:r>
        <w:rPr>
          <w:b/>
          <w:bCs/>
        </w:rPr>
        <w:t xml:space="preserve">  </w:t>
      </w:r>
    </w:p>
    <w:p>
      <w:pPr>
        <w:pStyle w:val="BodyTextIndent"/>
        <w:rPr/>
      </w:pPr>
      <w:r>
        <w:rPr/>
        <w:t>The contention in both draft decisions that payment of the PX Credit constitutes a subsidy of direct access customers by SCE is grievously incorrect.  There are several reasons why this is so:</w:t>
      </w:r>
    </w:p>
    <w:p>
      <w:pPr>
        <w:pStyle w:val="BodyTextIndent3"/>
        <w:rPr/>
      </w:pPr>
      <w:r>
        <w:rPr/>
        <w:t>1.  Any so-called “subsidy” which may exist is the result of frozen rates.  If direct access customers received a subsidy, so did all bundled customers because of frozen rates.  A look at the table presented in both decisions is illuminating in demonstrating this conclusion.  The following is a reproduction of the table contained in the DD and the ADD that allegedly shows how direct access customers are subsidized (all amounts are in cents/kWh):</w:t>
      </w:r>
    </w:p>
    <w:p>
      <w:pPr>
        <w:pStyle w:val="Normal"/>
        <w:rPr/>
      </w:pPr>
      <w:r>
        <w:rPr/>
      </w:r>
    </w:p>
    <w:tbl>
      <w:tblPr>
        <w:tblW w:w="8928" w:type="dxa"/>
        <w:jc w:val="start"/>
        <w:tblInd w:w="0" w:type="dxa"/>
        <w:tblLayout w:type="fixed"/>
        <w:tblCellMar>
          <w:top w:w="0" w:type="dxa"/>
          <w:start w:w="108" w:type="dxa"/>
          <w:bottom w:w="0" w:type="dxa"/>
          <w:end w:w="108" w:type="dxa"/>
        </w:tblCellMar>
      </w:tblPr>
      <w:tblGrid>
        <w:gridCol w:w="3708"/>
        <w:gridCol w:w="900"/>
        <w:gridCol w:w="3420"/>
        <w:gridCol w:w="900"/>
      </w:tblGrid>
      <w:tr>
        <w:trPr/>
        <w:tc>
          <w:tcPr>
            <w:tcW w:w="3708" w:type="dxa"/>
            <w:tcBorders>
              <w:top w:val="single" w:sz="4" w:space="0" w:color="000000"/>
              <w:start w:val="single" w:sz="4" w:space="0" w:color="000000"/>
              <w:bottom w:val="single" w:sz="4" w:space="0" w:color="000000"/>
              <w:end w:val="single" w:sz="4" w:space="0" w:color="000000"/>
            </w:tcBorders>
          </w:tcPr>
          <w:p>
            <w:pPr>
              <w:pStyle w:val="standard"/>
              <w:spacing w:lineRule="auto" w:line="240"/>
              <w:ind w:hanging="0" w:end="0"/>
              <w:rPr>
                <w:rFonts w:ascii="Times New Roman" w:hAnsi="Times New Roman" w:cs="Times New Roman"/>
                <w:sz w:val="24"/>
              </w:rPr>
            </w:pPr>
            <w:r>
              <w:rPr>
                <w:rFonts w:cs="Times New Roman" w:ascii="Times New Roman" w:hAnsi="Times New Roman"/>
                <w:sz w:val="24"/>
              </w:rPr>
              <w:t xml:space="preserve">Electric energy </w:t>
            </w:r>
          </w:p>
        </w:tc>
        <w:tc>
          <w:tcPr>
            <w:tcW w:w="900" w:type="dxa"/>
            <w:tcBorders>
              <w:top w:val="single" w:sz="4" w:space="0" w:color="000000"/>
              <w:start w:val="single" w:sz="4" w:space="0" w:color="000000"/>
              <w:bottom w:val="single" w:sz="4" w:space="0" w:color="000000"/>
              <w:end w:val="single" w:sz="4" w:space="0" w:color="000000"/>
            </w:tcBorders>
          </w:tcPr>
          <w:p>
            <w:pPr>
              <w:pStyle w:val="standard"/>
              <w:spacing w:lineRule="auto" w:line="240"/>
              <w:ind w:hanging="0" w:end="0"/>
              <w:jc w:val="end"/>
              <w:rPr>
                <w:rFonts w:ascii="Times New Roman" w:hAnsi="Times New Roman" w:cs="Times New Roman"/>
                <w:sz w:val="24"/>
              </w:rPr>
            </w:pPr>
            <w:r>
              <w:rPr>
                <w:rFonts w:cs="Times New Roman" w:ascii="Times New Roman" w:hAnsi="Times New Roman"/>
                <w:sz w:val="24"/>
              </w:rPr>
              <w:t xml:space="preserve">20¢ </w:t>
            </w:r>
          </w:p>
        </w:tc>
        <w:tc>
          <w:tcPr>
            <w:tcW w:w="3420" w:type="dxa"/>
            <w:tcBorders>
              <w:top w:val="single" w:sz="4" w:space="0" w:color="000000"/>
              <w:start w:val="single" w:sz="4" w:space="0" w:color="000000"/>
              <w:bottom w:val="single" w:sz="4" w:space="0" w:color="000000"/>
              <w:end w:val="single" w:sz="4" w:space="0" w:color="000000"/>
            </w:tcBorders>
          </w:tcPr>
          <w:p>
            <w:pPr>
              <w:pStyle w:val="standard"/>
              <w:spacing w:lineRule="auto" w:line="240"/>
              <w:ind w:hanging="0" w:end="0"/>
              <w:rPr>
                <w:rFonts w:ascii="Times New Roman" w:hAnsi="Times New Roman" w:cs="Times New Roman"/>
                <w:sz w:val="24"/>
              </w:rPr>
            </w:pPr>
            <w:r>
              <w:rPr>
                <w:rFonts w:cs="Times New Roman" w:ascii="Times New Roman" w:hAnsi="Times New Roman"/>
                <w:sz w:val="24"/>
              </w:rPr>
              <w:t xml:space="preserve">Bundled rate </w:t>
            </w:r>
          </w:p>
        </w:tc>
        <w:tc>
          <w:tcPr>
            <w:tcW w:w="900" w:type="dxa"/>
            <w:tcBorders>
              <w:top w:val="single" w:sz="4" w:space="0" w:color="000000"/>
              <w:start w:val="single" w:sz="4" w:space="0" w:color="000000"/>
              <w:bottom w:val="single" w:sz="4" w:space="0" w:color="000000"/>
              <w:end w:val="single" w:sz="4" w:space="0" w:color="000000"/>
            </w:tcBorders>
          </w:tcPr>
          <w:p>
            <w:pPr>
              <w:pStyle w:val="standard"/>
              <w:spacing w:lineRule="auto" w:line="240"/>
              <w:ind w:hanging="0" w:end="0"/>
              <w:jc w:val="end"/>
              <w:rPr>
                <w:rFonts w:ascii="Times New Roman" w:hAnsi="Times New Roman" w:cs="Times New Roman"/>
                <w:sz w:val="24"/>
              </w:rPr>
            </w:pPr>
            <w:r>
              <w:rPr>
                <w:rFonts w:cs="Times New Roman" w:ascii="Times New Roman" w:hAnsi="Times New Roman"/>
                <w:sz w:val="24"/>
              </w:rPr>
              <w:t>(15¢)</w:t>
            </w:r>
          </w:p>
        </w:tc>
      </w:tr>
      <w:tr>
        <w:trPr/>
        <w:tc>
          <w:tcPr>
            <w:tcW w:w="3708" w:type="dxa"/>
            <w:tcBorders>
              <w:top w:val="single" w:sz="4" w:space="0" w:color="000000"/>
              <w:start w:val="single" w:sz="4" w:space="0" w:color="000000"/>
              <w:bottom w:val="single" w:sz="4" w:space="0" w:color="000000"/>
              <w:end w:val="single" w:sz="4" w:space="0" w:color="000000"/>
            </w:tcBorders>
          </w:tcPr>
          <w:p>
            <w:pPr>
              <w:pStyle w:val="standard"/>
              <w:spacing w:lineRule="auto" w:line="240"/>
              <w:ind w:hanging="0" w:end="0"/>
              <w:rPr>
                <w:rFonts w:ascii="Times New Roman" w:hAnsi="Times New Roman" w:cs="Times New Roman"/>
                <w:sz w:val="24"/>
              </w:rPr>
            </w:pPr>
            <w:r>
              <w:rPr>
                <w:rFonts w:cs="Times New Roman" w:ascii="Times New Roman" w:hAnsi="Times New Roman"/>
                <w:sz w:val="24"/>
              </w:rPr>
              <w:t xml:space="preserve">T&amp;D </w:t>
            </w:r>
          </w:p>
        </w:tc>
        <w:tc>
          <w:tcPr>
            <w:tcW w:w="900" w:type="dxa"/>
            <w:tcBorders>
              <w:top w:val="single" w:sz="4" w:space="0" w:color="000000"/>
              <w:start w:val="single" w:sz="4" w:space="0" w:color="000000"/>
              <w:bottom w:val="single" w:sz="4" w:space="0" w:color="000000"/>
              <w:end w:val="single" w:sz="4" w:space="0" w:color="000000"/>
            </w:tcBorders>
          </w:tcPr>
          <w:p>
            <w:pPr>
              <w:pStyle w:val="standard"/>
              <w:spacing w:lineRule="auto" w:line="240"/>
              <w:ind w:hanging="0" w:end="0"/>
              <w:jc w:val="end"/>
              <w:rPr/>
            </w:pPr>
            <w:r>
              <w:rPr>
                <w:rFonts w:cs="Times New Roman" w:ascii="Times New Roman" w:hAnsi="Times New Roman"/>
                <w:sz w:val="24"/>
                <w:u w:val="single"/>
              </w:rPr>
              <w:t>10¢</w:t>
            </w:r>
            <w:r>
              <w:rPr>
                <w:rFonts w:cs="Times New Roman" w:ascii="Times New Roman" w:hAnsi="Times New Roman"/>
                <w:sz w:val="24"/>
              </w:rPr>
              <w:t xml:space="preserve"> </w:t>
            </w:r>
          </w:p>
        </w:tc>
        <w:tc>
          <w:tcPr>
            <w:tcW w:w="3420" w:type="dxa"/>
            <w:tcBorders>
              <w:top w:val="single" w:sz="4" w:space="0" w:color="000000"/>
              <w:start w:val="single" w:sz="4" w:space="0" w:color="000000"/>
              <w:bottom w:val="single" w:sz="4" w:space="0" w:color="000000"/>
              <w:end w:val="single" w:sz="4" w:space="0" w:color="000000"/>
            </w:tcBorders>
          </w:tcPr>
          <w:p>
            <w:pPr>
              <w:pStyle w:val="standard"/>
              <w:spacing w:lineRule="auto" w:line="240"/>
              <w:ind w:hanging="0" w:end="0"/>
              <w:rPr>
                <w:rFonts w:ascii="Times New Roman" w:hAnsi="Times New Roman" w:cs="Times New Roman"/>
                <w:sz w:val="24"/>
              </w:rPr>
            </w:pPr>
            <w:r>
              <w:rPr>
                <w:rFonts w:cs="Times New Roman" w:ascii="Times New Roman" w:hAnsi="Times New Roman"/>
                <w:sz w:val="24"/>
              </w:rPr>
              <w:t xml:space="preserve">Credit          </w:t>
            </w:r>
          </w:p>
        </w:tc>
        <w:tc>
          <w:tcPr>
            <w:tcW w:w="900" w:type="dxa"/>
            <w:tcBorders>
              <w:top w:val="single" w:sz="4" w:space="0" w:color="000000"/>
              <w:start w:val="single" w:sz="4" w:space="0" w:color="000000"/>
              <w:bottom w:val="single" w:sz="4" w:space="0" w:color="000000"/>
              <w:end w:val="single" w:sz="4" w:space="0" w:color="000000"/>
            </w:tcBorders>
          </w:tcPr>
          <w:p>
            <w:pPr>
              <w:pStyle w:val="standard"/>
              <w:spacing w:lineRule="auto" w:line="240"/>
              <w:ind w:hanging="0" w:end="0"/>
              <w:jc w:val="end"/>
              <w:rPr>
                <w:rFonts w:ascii="Times New Roman" w:hAnsi="Times New Roman" w:cs="Times New Roman"/>
                <w:sz w:val="24"/>
              </w:rPr>
            </w:pPr>
            <w:r>
              <w:rPr>
                <w:rFonts w:cs="Times New Roman" w:ascii="Times New Roman" w:hAnsi="Times New Roman"/>
                <w:sz w:val="24"/>
                <w:u w:val="single"/>
              </w:rPr>
              <w:t>20¢</w:t>
            </w:r>
          </w:p>
        </w:tc>
      </w:tr>
      <w:tr>
        <w:trPr/>
        <w:tc>
          <w:tcPr>
            <w:tcW w:w="3708" w:type="dxa"/>
            <w:tcBorders>
              <w:top w:val="single" w:sz="4" w:space="0" w:color="000000"/>
              <w:start w:val="single" w:sz="4" w:space="0" w:color="000000"/>
              <w:bottom w:val="single" w:sz="4" w:space="0" w:color="000000"/>
              <w:end w:val="single" w:sz="4" w:space="0" w:color="000000"/>
            </w:tcBorders>
          </w:tcPr>
          <w:p>
            <w:pPr>
              <w:pStyle w:val="standard"/>
              <w:spacing w:lineRule="auto" w:line="240"/>
              <w:ind w:hanging="0" w:end="0"/>
              <w:rPr>
                <w:rFonts w:ascii="Times New Roman" w:hAnsi="Times New Roman" w:cs="Times New Roman"/>
                <w:sz w:val="24"/>
              </w:rPr>
            </w:pPr>
            <w:r>
              <w:rPr>
                <w:rFonts w:cs="Times New Roman" w:ascii="Times New Roman" w:hAnsi="Times New Roman"/>
                <w:sz w:val="24"/>
              </w:rPr>
              <w:t xml:space="preserve">    </w:t>
            </w:r>
            <w:r>
              <w:rPr>
                <w:rFonts w:cs="Times New Roman" w:ascii="Times New Roman" w:hAnsi="Times New Roman"/>
                <w:sz w:val="24"/>
              </w:rPr>
              <w:t xml:space="preserve">Total                            </w:t>
            </w:r>
          </w:p>
        </w:tc>
        <w:tc>
          <w:tcPr>
            <w:tcW w:w="900" w:type="dxa"/>
            <w:tcBorders>
              <w:top w:val="single" w:sz="4" w:space="0" w:color="000000"/>
              <w:start w:val="single" w:sz="4" w:space="0" w:color="000000"/>
              <w:bottom w:val="single" w:sz="4" w:space="0" w:color="000000"/>
              <w:end w:val="single" w:sz="4" w:space="0" w:color="000000"/>
            </w:tcBorders>
          </w:tcPr>
          <w:p>
            <w:pPr>
              <w:pStyle w:val="standard"/>
              <w:spacing w:lineRule="auto" w:line="240"/>
              <w:ind w:hanging="0" w:end="0"/>
              <w:jc w:val="end"/>
              <w:rPr>
                <w:rFonts w:ascii="Times New Roman" w:hAnsi="Times New Roman" w:cs="Times New Roman"/>
                <w:sz w:val="24"/>
              </w:rPr>
            </w:pPr>
            <w:r>
              <w:rPr>
                <w:rFonts w:cs="Times New Roman" w:ascii="Times New Roman" w:hAnsi="Times New Roman"/>
                <w:sz w:val="24"/>
              </w:rPr>
              <w:t xml:space="preserve">30¢ </w:t>
            </w:r>
          </w:p>
        </w:tc>
        <w:tc>
          <w:tcPr>
            <w:tcW w:w="3420" w:type="dxa"/>
            <w:tcBorders>
              <w:top w:val="single" w:sz="4" w:space="0" w:color="000000"/>
              <w:start w:val="single" w:sz="4" w:space="0" w:color="000000"/>
              <w:bottom w:val="single" w:sz="4" w:space="0" w:color="000000"/>
              <w:end w:val="single" w:sz="4" w:space="0" w:color="000000"/>
            </w:tcBorders>
          </w:tcPr>
          <w:p>
            <w:pPr>
              <w:pStyle w:val="standard"/>
              <w:spacing w:lineRule="auto" w:line="240"/>
              <w:ind w:hanging="0" w:end="0"/>
              <w:rPr>
                <w:rFonts w:ascii="Times New Roman" w:hAnsi="Times New Roman" w:cs="Times New Roman"/>
                <w:sz w:val="24"/>
              </w:rPr>
            </w:pPr>
            <w:r>
              <w:rPr>
                <w:rFonts w:cs="Times New Roman" w:ascii="Times New Roman" w:hAnsi="Times New Roman"/>
                <w:sz w:val="24"/>
              </w:rPr>
              <w:t xml:space="preserve">Net to direct Access Customer </w:t>
            </w:r>
          </w:p>
        </w:tc>
        <w:tc>
          <w:tcPr>
            <w:tcW w:w="900" w:type="dxa"/>
            <w:tcBorders>
              <w:top w:val="single" w:sz="4" w:space="0" w:color="000000"/>
              <w:start w:val="single" w:sz="4" w:space="0" w:color="000000"/>
              <w:bottom w:val="single" w:sz="4" w:space="0" w:color="000000"/>
              <w:end w:val="single" w:sz="4" w:space="0" w:color="000000"/>
            </w:tcBorders>
          </w:tcPr>
          <w:p>
            <w:pPr>
              <w:pStyle w:val="standard"/>
              <w:spacing w:lineRule="auto" w:line="240"/>
              <w:ind w:hanging="0" w:end="0"/>
              <w:jc w:val="end"/>
              <w:rPr>
                <w:rFonts w:ascii="Times New Roman" w:hAnsi="Times New Roman" w:cs="Times New Roman"/>
                <w:sz w:val="24"/>
              </w:rPr>
            </w:pPr>
            <w:r>
              <w:rPr>
                <w:rFonts w:cs="Times New Roman" w:ascii="Times New Roman" w:hAnsi="Times New Roman"/>
                <w:sz w:val="24"/>
              </w:rPr>
              <w:t>5¢</w:t>
            </w:r>
          </w:p>
        </w:tc>
      </w:tr>
      <w:tr>
        <w:trPr/>
        <w:tc>
          <w:tcPr>
            <w:tcW w:w="3708" w:type="dxa"/>
            <w:tcBorders>
              <w:top w:val="single" w:sz="4" w:space="0" w:color="000000"/>
              <w:start w:val="single" w:sz="4" w:space="0" w:color="000000"/>
              <w:bottom w:val="single" w:sz="4" w:space="0" w:color="000000"/>
              <w:end w:val="single" w:sz="4" w:space="0" w:color="000000"/>
            </w:tcBorders>
          </w:tcPr>
          <w:p>
            <w:pPr>
              <w:pStyle w:val="standard"/>
              <w:snapToGrid w:val="false"/>
              <w:spacing w:lineRule="auto" w:line="240"/>
              <w:ind w:hanging="0" w:end="0"/>
              <w:rPr>
                <w:rFonts w:ascii="Times New Roman" w:hAnsi="Times New Roman" w:cs="Times New Roman"/>
                <w:sz w:val="24"/>
              </w:rPr>
            </w:pPr>
            <w:r>
              <w:rPr>
                <w:rFonts w:cs="Times New Roman" w:ascii="Times New Roman" w:hAnsi="Times New Roman"/>
                <w:sz w:val="24"/>
              </w:rPr>
            </w:r>
          </w:p>
        </w:tc>
        <w:tc>
          <w:tcPr>
            <w:tcW w:w="900" w:type="dxa"/>
            <w:tcBorders>
              <w:top w:val="single" w:sz="4" w:space="0" w:color="000000"/>
              <w:start w:val="single" w:sz="4" w:space="0" w:color="000000"/>
              <w:bottom w:val="single" w:sz="4" w:space="0" w:color="000000"/>
              <w:end w:val="single" w:sz="4" w:space="0" w:color="000000"/>
            </w:tcBorders>
          </w:tcPr>
          <w:p>
            <w:pPr>
              <w:pStyle w:val="standard"/>
              <w:snapToGrid w:val="false"/>
              <w:spacing w:lineRule="auto" w:line="240"/>
              <w:ind w:hanging="0" w:end="0"/>
              <w:jc w:val="end"/>
              <w:rPr>
                <w:rFonts w:ascii="Times New Roman" w:hAnsi="Times New Roman" w:cs="Times New Roman"/>
                <w:sz w:val="24"/>
              </w:rPr>
            </w:pPr>
            <w:r>
              <w:rPr>
                <w:rFonts w:cs="Times New Roman" w:ascii="Times New Roman" w:hAnsi="Times New Roman"/>
                <w:sz w:val="24"/>
              </w:rPr>
            </w:r>
          </w:p>
        </w:tc>
        <w:tc>
          <w:tcPr>
            <w:tcW w:w="3420" w:type="dxa"/>
            <w:tcBorders>
              <w:top w:val="single" w:sz="4" w:space="0" w:color="000000"/>
              <w:start w:val="single" w:sz="4" w:space="0" w:color="000000"/>
              <w:bottom w:val="single" w:sz="4" w:space="0" w:color="000000"/>
              <w:end w:val="single" w:sz="4" w:space="0" w:color="000000"/>
            </w:tcBorders>
          </w:tcPr>
          <w:p>
            <w:pPr>
              <w:pStyle w:val="standard"/>
              <w:snapToGrid w:val="false"/>
              <w:spacing w:lineRule="auto" w:line="240"/>
              <w:ind w:hanging="0" w:end="0"/>
              <w:rPr>
                <w:rFonts w:ascii="Times New Roman" w:hAnsi="Times New Roman" w:cs="Times New Roman"/>
                <w:sz w:val="24"/>
              </w:rPr>
            </w:pPr>
            <w:r>
              <w:rPr>
                <w:rFonts w:cs="Times New Roman" w:ascii="Times New Roman" w:hAnsi="Times New Roman"/>
                <w:sz w:val="24"/>
              </w:rPr>
            </w:r>
          </w:p>
        </w:tc>
        <w:tc>
          <w:tcPr>
            <w:tcW w:w="900" w:type="dxa"/>
            <w:tcBorders>
              <w:top w:val="single" w:sz="4" w:space="0" w:color="000000"/>
              <w:start w:val="single" w:sz="4" w:space="0" w:color="000000"/>
              <w:bottom w:val="single" w:sz="4" w:space="0" w:color="000000"/>
              <w:end w:val="single" w:sz="4" w:space="0" w:color="000000"/>
            </w:tcBorders>
          </w:tcPr>
          <w:p>
            <w:pPr>
              <w:pStyle w:val="standard"/>
              <w:snapToGrid w:val="false"/>
              <w:spacing w:lineRule="auto" w:line="240"/>
              <w:ind w:hanging="0" w:end="0"/>
              <w:rPr>
                <w:rFonts w:ascii="Times New Roman" w:hAnsi="Times New Roman" w:cs="Times New Roman"/>
                <w:sz w:val="24"/>
              </w:rPr>
            </w:pPr>
            <w:r>
              <w:rPr>
                <w:rFonts w:cs="Times New Roman" w:ascii="Times New Roman" w:hAnsi="Times New Roman"/>
                <w:sz w:val="24"/>
              </w:rPr>
            </w:r>
          </w:p>
        </w:tc>
      </w:tr>
      <w:tr>
        <w:trPr/>
        <w:tc>
          <w:tcPr>
            <w:tcW w:w="3708" w:type="dxa"/>
            <w:tcBorders>
              <w:top w:val="single" w:sz="4" w:space="0" w:color="000000"/>
              <w:start w:val="single" w:sz="4" w:space="0" w:color="000000"/>
              <w:bottom w:val="single" w:sz="4" w:space="0" w:color="000000"/>
              <w:end w:val="single" w:sz="4" w:space="0" w:color="000000"/>
            </w:tcBorders>
          </w:tcPr>
          <w:p>
            <w:pPr>
              <w:pStyle w:val="standard"/>
              <w:spacing w:lineRule="auto" w:line="240"/>
              <w:ind w:hanging="0" w:end="0"/>
              <w:rPr>
                <w:rFonts w:ascii="Times New Roman" w:hAnsi="Times New Roman" w:cs="Times New Roman"/>
                <w:b/>
                <w:bCs/>
                <w:sz w:val="24"/>
              </w:rPr>
            </w:pPr>
            <w:r>
              <w:rPr>
                <w:rFonts w:cs="Times New Roman" w:ascii="Times New Roman" w:hAnsi="Times New Roman"/>
                <w:b/>
                <w:bCs/>
                <w:sz w:val="24"/>
              </w:rPr>
              <w:t xml:space="preserve">    </w:t>
            </w:r>
            <w:r>
              <w:rPr>
                <w:rFonts w:cs="Times New Roman" w:ascii="Times New Roman" w:hAnsi="Times New Roman"/>
                <w:b/>
                <w:bCs/>
                <w:sz w:val="24"/>
              </w:rPr>
              <w:t>Utility Deficit</w:t>
            </w:r>
          </w:p>
        </w:tc>
        <w:tc>
          <w:tcPr>
            <w:tcW w:w="900" w:type="dxa"/>
            <w:tcBorders>
              <w:top w:val="single" w:sz="4" w:space="0" w:color="000000"/>
              <w:start w:val="single" w:sz="4" w:space="0" w:color="000000"/>
              <w:bottom w:val="single" w:sz="4" w:space="0" w:color="000000"/>
              <w:end w:val="single" w:sz="4" w:space="0" w:color="000000"/>
            </w:tcBorders>
          </w:tcPr>
          <w:p>
            <w:pPr>
              <w:pStyle w:val="standard"/>
              <w:snapToGrid w:val="false"/>
              <w:spacing w:lineRule="auto" w:line="240"/>
              <w:ind w:hanging="0" w:end="0"/>
              <w:jc w:val="end"/>
              <w:rPr>
                <w:rFonts w:ascii="Times New Roman" w:hAnsi="Times New Roman" w:cs="Times New Roman"/>
                <w:b/>
                <w:bCs/>
                <w:sz w:val="24"/>
              </w:rPr>
            </w:pPr>
            <w:r>
              <w:rPr>
                <w:rFonts w:cs="Times New Roman" w:ascii="Times New Roman" w:hAnsi="Times New Roman"/>
                <w:b/>
                <w:bCs/>
                <w:sz w:val="24"/>
              </w:rPr>
            </w:r>
          </w:p>
        </w:tc>
        <w:tc>
          <w:tcPr>
            <w:tcW w:w="3420" w:type="dxa"/>
            <w:tcBorders>
              <w:top w:val="single" w:sz="4" w:space="0" w:color="000000"/>
              <w:start w:val="single" w:sz="4" w:space="0" w:color="000000"/>
              <w:bottom w:val="single" w:sz="4" w:space="0" w:color="000000"/>
              <w:end w:val="single" w:sz="4" w:space="0" w:color="000000"/>
            </w:tcBorders>
          </w:tcPr>
          <w:p>
            <w:pPr>
              <w:pStyle w:val="standard"/>
              <w:snapToGrid w:val="false"/>
              <w:spacing w:lineRule="auto" w:line="240"/>
              <w:ind w:hanging="0" w:end="0"/>
              <w:rPr>
                <w:rFonts w:ascii="Times New Roman" w:hAnsi="Times New Roman" w:cs="Times New Roman"/>
                <w:sz w:val="24"/>
              </w:rPr>
            </w:pPr>
            <w:r>
              <w:rPr>
                <w:rFonts w:cs="Times New Roman" w:ascii="Times New Roman" w:hAnsi="Times New Roman"/>
                <w:sz w:val="24"/>
              </w:rPr>
            </w:r>
          </w:p>
        </w:tc>
        <w:tc>
          <w:tcPr>
            <w:tcW w:w="900" w:type="dxa"/>
            <w:tcBorders>
              <w:top w:val="single" w:sz="4" w:space="0" w:color="000000"/>
              <w:start w:val="single" w:sz="4" w:space="0" w:color="000000"/>
              <w:bottom w:val="single" w:sz="4" w:space="0" w:color="000000"/>
              <w:end w:val="single" w:sz="4" w:space="0" w:color="000000"/>
            </w:tcBorders>
          </w:tcPr>
          <w:p>
            <w:pPr>
              <w:pStyle w:val="standard"/>
              <w:snapToGrid w:val="false"/>
              <w:spacing w:lineRule="auto" w:line="240"/>
              <w:ind w:hanging="0" w:end="0"/>
              <w:rPr>
                <w:rFonts w:ascii="Times New Roman" w:hAnsi="Times New Roman" w:cs="Times New Roman"/>
                <w:sz w:val="24"/>
              </w:rPr>
            </w:pPr>
            <w:r>
              <w:rPr>
                <w:rFonts w:cs="Times New Roman" w:ascii="Times New Roman" w:hAnsi="Times New Roman"/>
                <w:sz w:val="24"/>
              </w:rPr>
            </w:r>
          </w:p>
        </w:tc>
      </w:tr>
      <w:tr>
        <w:trPr/>
        <w:tc>
          <w:tcPr>
            <w:tcW w:w="3708" w:type="dxa"/>
            <w:tcBorders>
              <w:top w:val="single" w:sz="4" w:space="0" w:color="000000"/>
              <w:start w:val="single" w:sz="4" w:space="0" w:color="000000"/>
              <w:bottom w:val="single" w:sz="4" w:space="0" w:color="000000"/>
              <w:end w:val="single" w:sz="4" w:space="0" w:color="000000"/>
            </w:tcBorders>
          </w:tcPr>
          <w:p>
            <w:pPr>
              <w:pStyle w:val="standard"/>
              <w:spacing w:lineRule="auto" w:line="240"/>
              <w:ind w:hanging="0" w:end="0"/>
              <w:rPr>
                <w:rFonts w:ascii="Times New Roman" w:hAnsi="Times New Roman" w:cs="Times New Roman"/>
                <w:sz w:val="24"/>
              </w:rPr>
            </w:pPr>
            <w:r>
              <w:rPr>
                <w:rFonts w:cs="Times New Roman" w:ascii="Times New Roman" w:hAnsi="Times New Roman"/>
                <w:sz w:val="24"/>
              </w:rPr>
              <w:t xml:space="preserve">T&amp;D not received </w:t>
            </w:r>
          </w:p>
        </w:tc>
        <w:tc>
          <w:tcPr>
            <w:tcW w:w="900" w:type="dxa"/>
            <w:tcBorders>
              <w:top w:val="single" w:sz="4" w:space="0" w:color="000000"/>
              <w:start w:val="single" w:sz="4" w:space="0" w:color="000000"/>
              <w:bottom w:val="single" w:sz="4" w:space="0" w:color="000000"/>
              <w:end w:val="single" w:sz="4" w:space="0" w:color="000000"/>
            </w:tcBorders>
          </w:tcPr>
          <w:p>
            <w:pPr>
              <w:pStyle w:val="standard"/>
              <w:spacing w:lineRule="auto" w:line="240"/>
              <w:ind w:hanging="0" w:end="0"/>
              <w:jc w:val="end"/>
              <w:rPr>
                <w:rFonts w:ascii="Times New Roman" w:hAnsi="Times New Roman" w:cs="Times New Roman"/>
                <w:sz w:val="24"/>
              </w:rPr>
            </w:pPr>
            <w:r>
              <w:rPr>
                <w:rFonts w:cs="Times New Roman" w:ascii="Times New Roman" w:hAnsi="Times New Roman"/>
                <w:sz w:val="24"/>
              </w:rPr>
              <w:t>10¢</w:t>
            </w:r>
          </w:p>
        </w:tc>
        <w:tc>
          <w:tcPr>
            <w:tcW w:w="3420" w:type="dxa"/>
            <w:tcBorders>
              <w:top w:val="single" w:sz="4" w:space="0" w:color="000000"/>
              <w:start w:val="single" w:sz="4" w:space="0" w:color="000000"/>
              <w:bottom w:val="single" w:sz="4" w:space="0" w:color="000000"/>
              <w:end w:val="single" w:sz="4" w:space="0" w:color="000000"/>
            </w:tcBorders>
          </w:tcPr>
          <w:p>
            <w:pPr>
              <w:pStyle w:val="standard"/>
              <w:snapToGrid w:val="false"/>
              <w:spacing w:lineRule="auto" w:line="240"/>
              <w:ind w:hanging="0" w:end="0"/>
              <w:rPr>
                <w:rFonts w:ascii="Times New Roman" w:hAnsi="Times New Roman" w:cs="Times New Roman"/>
                <w:sz w:val="24"/>
              </w:rPr>
            </w:pPr>
            <w:r>
              <w:rPr>
                <w:rFonts w:cs="Times New Roman" w:ascii="Times New Roman" w:hAnsi="Times New Roman"/>
                <w:sz w:val="24"/>
              </w:rPr>
            </w:r>
          </w:p>
        </w:tc>
        <w:tc>
          <w:tcPr>
            <w:tcW w:w="900" w:type="dxa"/>
            <w:tcBorders>
              <w:top w:val="single" w:sz="4" w:space="0" w:color="000000"/>
              <w:start w:val="single" w:sz="4" w:space="0" w:color="000000"/>
              <w:bottom w:val="single" w:sz="4" w:space="0" w:color="000000"/>
              <w:end w:val="single" w:sz="4" w:space="0" w:color="000000"/>
            </w:tcBorders>
          </w:tcPr>
          <w:p>
            <w:pPr>
              <w:pStyle w:val="standard"/>
              <w:snapToGrid w:val="false"/>
              <w:spacing w:lineRule="auto" w:line="240"/>
              <w:ind w:hanging="0" w:end="0"/>
              <w:rPr>
                <w:rFonts w:ascii="Times New Roman" w:hAnsi="Times New Roman" w:cs="Times New Roman"/>
                <w:sz w:val="24"/>
              </w:rPr>
            </w:pPr>
            <w:r>
              <w:rPr>
                <w:rFonts w:cs="Times New Roman" w:ascii="Times New Roman" w:hAnsi="Times New Roman"/>
                <w:sz w:val="24"/>
              </w:rPr>
            </w:r>
          </w:p>
        </w:tc>
      </w:tr>
      <w:tr>
        <w:trPr/>
        <w:tc>
          <w:tcPr>
            <w:tcW w:w="3708" w:type="dxa"/>
            <w:tcBorders>
              <w:top w:val="single" w:sz="4" w:space="0" w:color="000000"/>
              <w:start w:val="single" w:sz="4" w:space="0" w:color="000000"/>
              <w:bottom w:val="single" w:sz="4" w:space="0" w:color="000000"/>
              <w:end w:val="single" w:sz="4" w:space="0" w:color="000000"/>
            </w:tcBorders>
          </w:tcPr>
          <w:p>
            <w:pPr>
              <w:pStyle w:val="standard"/>
              <w:spacing w:lineRule="auto" w:line="240"/>
              <w:ind w:hanging="0" w:end="0"/>
              <w:rPr>
                <w:rFonts w:ascii="Times New Roman" w:hAnsi="Times New Roman" w:cs="Times New Roman"/>
                <w:sz w:val="24"/>
              </w:rPr>
            </w:pPr>
            <w:r>
              <w:rPr>
                <w:rFonts w:cs="Times New Roman" w:ascii="Times New Roman" w:hAnsi="Times New Roman"/>
                <w:sz w:val="24"/>
              </w:rPr>
              <w:t xml:space="preserve">Credit to Direct Access Customer </w:t>
            </w:r>
          </w:p>
        </w:tc>
        <w:tc>
          <w:tcPr>
            <w:tcW w:w="900" w:type="dxa"/>
            <w:tcBorders>
              <w:top w:val="single" w:sz="4" w:space="0" w:color="000000"/>
              <w:start w:val="single" w:sz="4" w:space="0" w:color="000000"/>
              <w:bottom w:val="single" w:sz="4" w:space="0" w:color="000000"/>
              <w:end w:val="single" w:sz="4" w:space="0" w:color="000000"/>
            </w:tcBorders>
          </w:tcPr>
          <w:p>
            <w:pPr>
              <w:pStyle w:val="standard"/>
              <w:spacing w:lineRule="auto" w:line="240"/>
              <w:ind w:hanging="0" w:end="0"/>
              <w:jc w:val="end"/>
              <w:rPr>
                <w:rFonts w:ascii="Times New Roman" w:hAnsi="Times New Roman" w:cs="Times New Roman"/>
                <w:sz w:val="24"/>
              </w:rPr>
            </w:pPr>
            <w:r>
              <w:rPr>
                <w:rFonts w:cs="Times New Roman" w:ascii="Times New Roman" w:hAnsi="Times New Roman"/>
                <w:sz w:val="24"/>
              </w:rPr>
              <w:t xml:space="preserve">  </w:t>
            </w:r>
            <w:r>
              <w:rPr>
                <w:rFonts w:cs="Times New Roman" w:ascii="Times New Roman" w:hAnsi="Times New Roman"/>
                <w:sz w:val="24"/>
                <w:u w:val="single"/>
              </w:rPr>
              <w:t>5¢</w:t>
            </w:r>
          </w:p>
        </w:tc>
        <w:tc>
          <w:tcPr>
            <w:tcW w:w="3420" w:type="dxa"/>
            <w:tcBorders>
              <w:top w:val="single" w:sz="4" w:space="0" w:color="000000"/>
              <w:start w:val="single" w:sz="4" w:space="0" w:color="000000"/>
              <w:bottom w:val="single" w:sz="4" w:space="0" w:color="000000"/>
              <w:end w:val="single" w:sz="4" w:space="0" w:color="000000"/>
            </w:tcBorders>
          </w:tcPr>
          <w:p>
            <w:pPr>
              <w:pStyle w:val="standard"/>
              <w:snapToGrid w:val="false"/>
              <w:spacing w:lineRule="auto" w:line="240"/>
              <w:ind w:hanging="0" w:end="0"/>
              <w:rPr>
                <w:rFonts w:ascii="Times New Roman" w:hAnsi="Times New Roman" w:cs="Times New Roman"/>
                <w:sz w:val="24"/>
              </w:rPr>
            </w:pPr>
            <w:r>
              <w:rPr>
                <w:rFonts w:cs="Times New Roman" w:ascii="Times New Roman" w:hAnsi="Times New Roman"/>
                <w:sz w:val="24"/>
              </w:rPr>
            </w:r>
          </w:p>
        </w:tc>
        <w:tc>
          <w:tcPr>
            <w:tcW w:w="900" w:type="dxa"/>
            <w:tcBorders>
              <w:top w:val="single" w:sz="4" w:space="0" w:color="000000"/>
              <w:start w:val="single" w:sz="4" w:space="0" w:color="000000"/>
              <w:bottom w:val="single" w:sz="4" w:space="0" w:color="000000"/>
              <w:end w:val="single" w:sz="4" w:space="0" w:color="000000"/>
            </w:tcBorders>
          </w:tcPr>
          <w:p>
            <w:pPr>
              <w:pStyle w:val="standard"/>
              <w:snapToGrid w:val="false"/>
              <w:spacing w:lineRule="auto" w:line="240"/>
              <w:ind w:hanging="0" w:end="0"/>
              <w:rPr>
                <w:rFonts w:ascii="Times New Roman" w:hAnsi="Times New Roman" w:cs="Times New Roman"/>
                <w:sz w:val="24"/>
              </w:rPr>
            </w:pPr>
            <w:r>
              <w:rPr>
                <w:rFonts w:cs="Times New Roman" w:ascii="Times New Roman" w:hAnsi="Times New Roman"/>
                <w:sz w:val="24"/>
              </w:rPr>
            </w:r>
          </w:p>
        </w:tc>
      </w:tr>
      <w:tr>
        <w:trPr/>
        <w:tc>
          <w:tcPr>
            <w:tcW w:w="3708" w:type="dxa"/>
            <w:tcBorders>
              <w:top w:val="single" w:sz="4" w:space="0" w:color="000000"/>
              <w:start w:val="single" w:sz="4" w:space="0" w:color="000000"/>
              <w:bottom w:val="single" w:sz="4" w:space="0" w:color="000000"/>
              <w:end w:val="single" w:sz="4" w:space="0" w:color="000000"/>
            </w:tcBorders>
          </w:tcPr>
          <w:p>
            <w:pPr>
              <w:pStyle w:val="standard"/>
              <w:spacing w:lineRule="auto" w:line="240"/>
              <w:ind w:hanging="0" w:end="0"/>
              <w:rPr/>
            </w:pPr>
            <w:r>
              <w:rPr>
                <w:rFonts w:cs="Times New Roman" w:ascii="Times New Roman" w:hAnsi="Times New Roman"/>
                <w:sz w:val="24"/>
              </w:rPr>
              <w:t xml:space="preserve">     </w:t>
            </w:r>
            <w:r>
              <w:rPr>
                <w:rFonts w:cs="Times New Roman" w:ascii="Times New Roman" w:hAnsi="Times New Roman"/>
                <w:b/>
                <w:bCs/>
                <w:sz w:val="24"/>
              </w:rPr>
              <w:t>Total Utility Deficit</w:t>
            </w:r>
          </w:p>
        </w:tc>
        <w:tc>
          <w:tcPr>
            <w:tcW w:w="900" w:type="dxa"/>
            <w:tcBorders>
              <w:top w:val="single" w:sz="4" w:space="0" w:color="000000"/>
              <w:start w:val="single" w:sz="4" w:space="0" w:color="000000"/>
              <w:bottom w:val="single" w:sz="4" w:space="0" w:color="000000"/>
              <w:end w:val="single" w:sz="4" w:space="0" w:color="000000"/>
            </w:tcBorders>
          </w:tcPr>
          <w:p>
            <w:pPr>
              <w:pStyle w:val="standard"/>
              <w:spacing w:lineRule="auto" w:line="240"/>
              <w:ind w:hanging="0" w:end="0"/>
              <w:jc w:val="end"/>
              <w:rPr>
                <w:rFonts w:ascii="Times New Roman" w:hAnsi="Times New Roman" w:cs="Times New Roman"/>
                <w:sz w:val="24"/>
              </w:rPr>
            </w:pPr>
            <w:r>
              <w:rPr>
                <w:rFonts w:cs="Times New Roman" w:ascii="Times New Roman" w:hAnsi="Times New Roman"/>
                <w:sz w:val="24"/>
              </w:rPr>
              <w:t>15¢</w:t>
            </w:r>
          </w:p>
        </w:tc>
        <w:tc>
          <w:tcPr>
            <w:tcW w:w="3420" w:type="dxa"/>
            <w:tcBorders>
              <w:top w:val="single" w:sz="4" w:space="0" w:color="000000"/>
              <w:start w:val="single" w:sz="4" w:space="0" w:color="000000"/>
              <w:bottom w:val="single" w:sz="4" w:space="0" w:color="000000"/>
              <w:end w:val="single" w:sz="4" w:space="0" w:color="000000"/>
            </w:tcBorders>
          </w:tcPr>
          <w:p>
            <w:pPr>
              <w:pStyle w:val="standard"/>
              <w:snapToGrid w:val="false"/>
              <w:spacing w:lineRule="auto" w:line="240"/>
              <w:ind w:hanging="0" w:end="0"/>
              <w:rPr>
                <w:rFonts w:ascii="Times New Roman" w:hAnsi="Times New Roman" w:cs="Times New Roman"/>
                <w:sz w:val="24"/>
              </w:rPr>
            </w:pPr>
            <w:r>
              <w:rPr>
                <w:rFonts w:cs="Times New Roman" w:ascii="Times New Roman" w:hAnsi="Times New Roman"/>
                <w:sz w:val="24"/>
              </w:rPr>
            </w:r>
          </w:p>
        </w:tc>
        <w:tc>
          <w:tcPr>
            <w:tcW w:w="900" w:type="dxa"/>
            <w:tcBorders>
              <w:top w:val="single" w:sz="4" w:space="0" w:color="000000"/>
              <w:start w:val="single" w:sz="4" w:space="0" w:color="000000"/>
              <w:bottom w:val="single" w:sz="4" w:space="0" w:color="000000"/>
              <w:end w:val="single" w:sz="4" w:space="0" w:color="000000"/>
            </w:tcBorders>
          </w:tcPr>
          <w:p>
            <w:pPr>
              <w:pStyle w:val="standard"/>
              <w:snapToGrid w:val="false"/>
              <w:spacing w:lineRule="auto" w:line="240"/>
              <w:ind w:hanging="0" w:end="0"/>
              <w:rPr>
                <w:rFonts w:ascii="Times New Roman" w:hAnsi="Times New Roman" w:cs="Times New Roman"/>
                <w:sz w:val="24"/>
              </w:rPr>
            </w:pPr>
            <w:r>
              <w:rPr>
                <w:rFonts w:cs="Times New Roman" w:ascii="Times New Roman" w:hAnsi="Times New Roman"/>
                <w:sz w:val="24"/>
              </w:rPr>
            </w:r>
          </w:p>
        </w:tc>
      </w:tr>
    </w:tbl>
    <w:p>
      <w:pPr>
        <w:pStyle w:val="standard"/>
        <w:spacing w:lineRule="auto" w:line="240"/>
        <w:rPr>
          <w:rFonts w:ascii="Times New Roman" w:hAnsi="Times New Roman" w:cs="Times New Roman"/>
          <w:sz w:val="24"/>
        </w:rPr>
      </w:pPr>
      <w:r>
        <w:rPr>
          <w:rFonts w:cs="Times New Roman" w:ascii="Times New Roman" w:hAnsi="Times New Roman"/>
          <w:sz w:val="24"/>
        </w:rPr>
      </w:r>
    </w:p>
    <w:p>
      <w:pPr>
        <w:pStyle w:val="BodyText2"/>
        <w:rPr/>
      </w:pPr>
      <w:r>
        <w:rPr/>
        <w:t>Both decisions conclude from this table that the utility has incurred a deficit of fifteen cents/kWh and that this constitutes a subsidy for direct access.  There are several reasons why this conclusion is glaringly wrong.</w:t>
      </w:r>
    </w:p>
    <w:p>
      <w:pPr>
        <w:pStyle w:val="Normal"/>
        <w:spacing w:lineRule="auto" w:line="480"/>
        <w:ind w:firstLine="720" w:end="0"/>
        <w:jc w:val="both"/>
        <w:rPr/>
      </w:pPr>
      <w:r>
        <w:rPr/>
        <w:t xml:space="preserve">First, the utility received value for that credit, because it did not need to go into the market and buy power.  In the example provided above, it would have paid 20¢ for the power if it had been required to serve the direct access customer.  In reality, of course, since buying additional power on the margin will normally result in higher, rather than lower prices, there is every likelihood that </w:t>
      </w:r>
      <w:r>
        <w:rPr>
          <w:u w:val="single"/>
        </w:rPr>
        <w:t>the utility would have paid more than 20¢ if it had been required to purchase power for direct access customers</w:t>
      </w:r>
      <w:r>
        <w:rPr/>
        <w:t xml:space="preserve">.  This would have resulted in higher average prices for </w:t>
      </w:r>
      <w:r>
        <w:rPr>
          <w:u w:val="single"/>
        </w:rPr>
        <w:t>all</w:t>
      </w:r>
      <w:r>
        <w:rPr/>
        <w:t xml:space="preserve"> bundled customers.  When customers opt for direct access, utilities have to buy less power.  Buying less power should result in a lower average cost for bundled customers, particularly during a period of high marginal prices.  Therefore, the only correct conclusion that can be drawn is that </w:t>
      </w:r>
      <w:r>
        <w:rPr>
          <w:u w:val="single"/>
        </w:rPr>
        <w:t xml:space="preserve">if there is any subsidy, it is provided by direct access customers to bundled customers!  </w:t>
      </w:r>
      <w:r>
        <w:rPr/>
        <w:t xml:space="preserve">The whole idea behind the original PX Credit was that it would be equal to the UDC’s avoided cost.  In reality, it has almost certainly been </w:t>
      </w:r>
      <w:r>
        <w:rPr>
          <w:u w:val="single"/>
        </w:rPr>
        <w:t>less</w:t>
      </w:r>
      <w:r>
        <w:rPr/>
        <w:t xml:space="preserve"> than the utility would have incurred.  </w:t>
      </w:r>
    </w:p>
    <w:p>
      <w:pPr>
        <w:pStyle w:val="Normal"/>
        <w:spacing w:lineRule="auto" w:line="480"/>
        <w:ind w:firstLine="720" w:end="0"/>
        <w:jc w:val="both"/>
        <w:rPr/>
      </w:pPr>
      <w:r>
        <w:rPr/>
        <w:t xml:space="preserve">Second, when the utilities stopped paying the PX Credit in early January, the ESPs were forced to return their customers to bundled service.  There was absolutely no way that an ESP could continue to pay the high wholesale prices prevailing in the market when the utilities were failing to perform their contractual obligations under the Stipulation.  The return of thousands of direct access customers to bundled service has significantly increased the procurement responsibilities of the utilities and, consequently, that of DWR.  The need to purchase more power, in a time of tight supplies and significantly reduced imported power has had an obvious result . . . the utilities and DWR have had to pay </w:t>
      </w:r>
      <w:r>
        <w:rPr>
          <w:u w:val="single"/>
        </w:rPr>
        <w:t>more</w:t>
      </w:r>
      <w:r>
        <w:rPr/>
        <w:t xml:space="preserve"> for power than they would otherwise have required to do.  In other words, the utilities’ default under the Stipulation has led to higher, rather than lower power purchase costs for </w:t>
      </w:r>
      <w:r>
        <w:rPr>
          <w:u w:val="single"/>
        </w:rPr>
        <w:t>all</w:t>
      </w:r>
      <w:r>
        <w:rPr/>
        <w:t xml:space="preserve"> customers.  The DD and the ADD would grievously compound their error by confirming that the utilities should not meet their contractual obligations under the Stipulation.  In other words, the DD and the ADD will both contribute to a prolonged exposure to higher costs for all customers.  Is this really the result their authors intend?  AReM thinks not, or at least hopes not.</w:t>
      </w:r>
    </w:p>
    <w:p>
      <w:pPr>
        <w:pStyle w:val="BodyTextIndent3"/>
        <w:rPr/>
      </w:pPr>
      <w:r>
        <w:rPr/>
        <w:t>Third, any suggestion of subsidy has to recognize that all customers, both bundled and direct access, are subsidized by the existence of frozen rates.  To illustrate this point, reconsider the left-hand side of the table provided above, but in the context of a bundled customer (and, once again, all amounts are in cents/kWh):</w:t>
      </w:r>
    </w:p>
    <w:tbl>
      <w:tblPr>
        <w:tblW w:w="4608" w:type="dxa"/>
        <w:jc w:val="start"/>
        <w:tblInd w:w="2370" w:type="dxa"/>
        <w:tblLayout w:type="fixed"/>
        <w:tblCellMar>
          <w:top w:w="0" w:type="dxa"/>
          <w:start w:w="108" w:type="dxa"/>
          <w:bottom w:w="0" w:type="dxa"/>
          <w:end w:w="108" w:type="dxa"/>
        </w:tblCellMar>
      </w:tblPr>
      <w:tblGrid>
        <w:gridCol w:w="3708"/>
        <w:gridCol w:w="900"/>
      </w:tblGrid>
      <w:tr>
        <w:trPr/>
        <w:tc>
          <w:tcPr>
            <w:tcW w:w="3708" w:type="dxa"/>
            <w:tcBorders>
              <w:top w:val="single" w:sz="4" w:space="0" w:color="000000"/>
              <w:start w:val="single" w:sz="4" w:space="0" w:color="000000"/>
              <w:bottom w:val="single" w:sz="4" w:space="0" w:color="000000"/>
              <w:end w:val="single" w:sz="4" w:space="0" w:color="000000"/>
            </w:tcBorders>
          </w:tcPr>
          <w:p>
            <w:pPr>
              <w:pStyle w:val="standard"/>
              <w:spacing w:lineRule="auto" w:line="240"/>
              <w:ind w:hanging="0" w:end="0"/>
              <w:rPr>
                <w:rFonts w:ascii="Times New Roman" w:hAnsi="Times New Roman" w:cs="Times New Roman"/>
                <w:sz w:val="24"/>
              </w:rPr>
            </w:pPr>
            <w:r>
              <w:rPr>
                <w:rFonts w:cs="Times New Roman" w:ascii="Times New Roman" w:hAnsi="Times New Roman"/>
                <w:sz w:val="24"/>
              </w:rPr>
              <w:t xml:space="preserve">Electric energy </w:t>
            </w:r>
          </w:p>
        </w:tc>
        <w:tc>
          <w:tcPr>
            <w:tcW w:w="900" w:type="dxa"/>
            <w:tcBorders>
              <w:top w:val="single" w:sz="4" w:space="0" w:color="000000"/>
              <w:start w:val="single" w:sz="4" w:space="0" w:color="000000"/>
              <w:bottom w:val="single" w:sz="4" w:space="0" w:color="000000"/>
              <w:end w:val="single" w:sz="4" w:space="0" w:color="000000"/>
            </w:tcBorders>
          </w:tcPr>
          <w:p>
            <w:pPr>
              <w:pStyle w:val="standard"/>
              <w:spacing w:lineRule="auto" w:line="240"/>
              <w:ind w:hanging="0" w:end="0"/>
              <w:jc w:val="end"/>
              <w:rPr>
                <w:rFonts w:ascii="Times New Roman" w:hAnsi="Times New Roman" w:cs="Times New Roman"/>
                <w:sz w:val="24"/>
              </w:rPr>
            </w:pPr>
            <w:r>
              <w:rPr>
                <w:rFonts w:cs="Times New Roman" w:ascii="Times New Roman" w:hAnsi="Times New Roman"/>
                <w:sz w:val="24"/>
              </w:rPr>
              <w:t xml:space="preserve">20¢ </w:t>
            </w:r>
          </w:p>
        </w:tc>
      </w:tr>
      <w:tr>
        <w:trPr/>
        <w:tc>
          <w:tcPr>
            <w:tcW w:w="3708" w:type="dxa"/>
            <w:tcBorders>
              <w:top w:val="single" w:sz="4" w:space="0" w:color="000000"/>
              <w:start w:val="single" w:sz="4" w:space="0" w:color="000000"/>
              <w:bottom w:val="single" w:sz="4" w:space="0" w:color="000000"/>
              <w:end w:val="single" w:sz="4" w:space="0" w:color="000000"/>
            </w:tcBorders>
          </w:tcPr>
          <w:p>
            <w:pPr>
              <w:pStyle w:val="standard"/>
              <w:spacing w:lineRule="auto" w:line="240"/>
              <w:ind w:hanging="0" w:end="0"/>
              <w:rPr>
                <w:rFonts w:ascii="Times New Roman" w:hAnsi="Times New Roman" w:cs="Times New Roman"/>
                <w:sz w:val="24"/>
              </w:rPr>
            </w:pPr>
            <w:r>
              <w:rPr>
                <w:rFonts w:cs="Times New Roman" w:ascii="Times New Roman" w:hAnsi="Times New Roman"/>
                <w:sz w:val="24"/>
              </w:rPr>
              <w:t xml:space="preserve">T&amp;D </w:t>
            </w:r>
          </w:p>
        </w:tc>
        <w:tc>
          <w:tcPr>
            <w:tcW w:w="900" w:type="dxa"/>
            <w:tcBorders>
              <w:top w:val="single" w:sz="4" w:space="0" w:color="000000"/>
              <w:start w:val="single" w:sz="4" w:space="0" w:color="000000"/>
              <w:bottom w:val="single" w:sz="4" w:space="0" w:color="000000"/>
              <w:end w:val="single" w:sz="4" w:space="0" w:color="000000"/>
            </w:tcBorders>
          </w:tcPr>
          <w:p>
            <w:pPr>
              <w:pStyle w:val="standard"/>
              <w:spacing w:lineRule="auto" w:line="240"/>
              <w:ind w:hanging="0" w:end="0"/>
              <w:jc w:val="end"/>
              <w:rPr/>
            </w:pPr>
            <w:r>
              <w:rPr>
                <w:rFonts w:cs="Times New Roman" w:ascii="Times New Roman" w:hAnsi="Times New Roman"/>
                <w:sz w:val="24"/>
                <w:u w:val="single"/>
              </w:rPr>
              <w:t>10¢</w:t>
            </w:r>
            <w:r>
              <w:rPr>
                <w:rFonts w:cs="Times New Roman" w:ascii="Times New Roman" w:hAnsi="Times New Roman"/>
                <w:sz w:val="24"/>
              </w:rPr>
              <w:t xml:space="preserve"> </w:t>
            </w:r>
          </w:p>
        </w:tc>
      </w:tr>
      <w:tr>
        <w:trPr/>
        <w:tc>
          <w:tcPr>
            <w:tcW w:w="3708" w:type="dxa"/>
            <w:tcBorders>
              <w:top w:val="single" w:sz="4" w:space="0" w:color="000000"/>
              <w:start w:val="single" w:sz="4" w:space="0" w:color="000000"/>
              <w:bottom w:val="single" w:sz="4" w:space="0" w:color="000000"/>
              <w:end w:val="single" w:sz="4" w:space="0" w:color="000000"/>
            </w:tcBorders>
          </w:tcPr>
          <w:p>
            <w:pPr>
              <w:pStyle w:val="standard"/>
              <w:spacing w:lineRule="auto" w:line="240"/>
              <w:ind w:hanging="0" w:end="0"/>
              <w:rPr>
                <w:rFonts w:ascii="Times New Roman" w:hAnsi="Times New Roman" w:cs="Times New Roman"/>
                <w:sz w:val="24"/>
              </w:rPr>
            </w:pPr>
            <w:r>
              <w:rPr>
                <w:rFonts w:cs="Times New Roman" w:ascii="Times New Roman" w:hAnsi="Times New Roman"/>
                <w:sz w:val="24"/>
              </w:rPr>
              <w:t xml:space="preserve">    </w:t>
            </w:r>
            <w:r>
              <w:rPr>
                <w:rFonts w:cs="Times New Roman" w:ascii="Times New Roman" w:hAnsi="Times New Roman"/>
                <w:sz w:val="24"/>
              </w:rPr>
              <w:t xml:space="preserve">Total                            </w:t>
            </w:r>
          </w:p>
        </w:tc>
        <w:tc>
          <w:tcPr>
            <w:tcW w:w="900" w:type="dxa"/>
            <w:tcBorders>
              <w:top w:val="single" w:sz="4" w:space="0" w:color="000000"/>
              <w:start w:val="single" w:sz="4" w:space="0" w:color="000000"/>
              <w:bottom w:val="single" w:sz="4" w:space="0" w:color="000000"/>
              <w:end w:val="single" w:sz="4" w:space="0" w:color="000000"/>
            </w:tcBorders>
          </w:tcPr>
          <w:p>
            <w:pPr>
              <w:pStyle w:val="standard"/>
              <w:spacing w:lineRule="auto" w:line="240"/>
              <w:ind w:hanging="0" w:end="0"/>
              <w:jc w:val="end"/>
              <w:rPr>
                <w:rFonts w:ascii="Times New Roman" w:hAnsi="Times New Roman" w:cs="Times New Roman"/>
                <w:sz w:val="24"/>
              </w:rPr>
            </w:pPr>
            <w:r>
              <w:rPr>
                <w:rFonts w:cs="Times New Roman" w:ascii="Times New Roman" w:hAnsi="Times New Roman"/>
                <w:sz w:val="24"/>
              </w:rPr>
              <w:t xml:space="preserve">30¢ </w:t>
            </w:r>
          </w:p>
        </w:tc>
      </w:tr>
      <w:tr>
        <w:trPr/>
        <w:tc>
          <w:tcPr>
            <w:tcW w:w="3708" w:type="dxa"/>
            <w:tcBorders>
              <w:top w:val="single" w:sz="4" w:space="0" w:color="000000"/>
              <w:start w:val="single" w:sz="4" w:space="0" w:color="000000"/>
              <w:bottom w:val="single" w:sz="4" w:space="0" w:color="000000"/>
              <w:end w:val="single" w:sz="4" w:space="0" w:color="000000"/>
            </w:tcBorders>
          </w:tcPr>
          <w:p>
            <w:pPr>
              <w:pStyle w:val="standard"/>
              <w:spacing w:lineRule="auto" w:line="240"/>
              <w:ind w:hanging="0" w:end="0"/>
              <w:rPr>
                <w:rFonts w:ascii="Times New Roman" w:hAnsi="Times New Roman" w:cs="Times New Roman"/>
                <w:sz w:val="24"/>
              </w:rPr>
            </w:pPr>
            <w:r>
              <w:rPr>
                <w:rFonts w:cs="Times New Roman" w:ascii="Times New Roman" w:hAnsi="Times New Roman"/>
                <w:sz w:val="24"/>
              </w:rPr>
              <w:t xml:space="preserve">Bundled rate </w:t>
            </w:r>
          </w:p>
        </w:tc>
        <w:tc>
          <w:tcPr>
            <w:tcW w:w="900" w:type="dxa"/>
            <w:tcBorders>
              <w:top w:val="single" w:sz="4" w:space="0" w:color="000000"/>
              <w:start w:val="single" w:sz="4" w:space="0" w:color="000000"/>
              <w:bottom w:val="single" w:sz="4" w:space="0" w:color="000000"/>
              <w:end w:val="single" w:sz="4" w:space="0" w:color="000000"/>
            </w:tcBorders>
          </w:tcPr>
          <w:p>
            <w:pPr>
              <w:pStyle w:val="standard"/>
              <w:spacing w:lineRule="auto" w:line="240"/>
              <w:ind w:hanging="0" w:end="0"/>
              <w:jc w:val="end"/>
              <w:rPr>
                <w:rFonts w:ascii="Times New Roman" w:hAnsi="Times New Roman" w:cs="Times New Roman"/>
                <w:sz w:val="24"/>
              </w:rPr>
            </w:pPr>
            <w:r>
              <w:rPr>
                <w:rFonts w:cs="Times New Roman" w:ascii="Times New Roman" w:hAnsi="Times New Roman"/>
                <w:sz w:val="24"/>
              </w:rPr>
              <w:t>(15¢)</w:t>
            </w:r>
          </w:p>
        </w:tc>
      </w:tr>
      <w:tr>
        <w:trPr/>
        <w:tc>
          <w:tcPr>
            <w:tcW w:w="3708" w:type="dxa"/>
            <w:tcBorders>
              <w:top w:val="single" w:sz="4" w:space="0" w:color="000000"/>
              <w:start w:val="single" w:sz="4" w:space="0" w:color="000000"/>
              <w:bottom w:val="single" w:sz="4" w:space="0" w:color="000000"/>
              <w:end w:val="single" w:sz="4" w:space="0" w:color="000000"/>
            </w:tcBorders>
          </w:tcPr>
          <w:p>
            <w:pPr>
              <w:pStyle w:val="standard"/>
              <w:spacing w:lineRule="auto" w:line="240"/>
              <w:ind w:hanging="0" w:end="0"/>
              <w:rPr>
                <w:rFonts w:ascii="Times New Roman" w:hAnsi="Times New Roman" w:cs="Times New Roman"/>
                <w:b/>
                <w:bCs/>
                <w:sz w:val="24"/>
              </w:rPr>
            </w:pPr>
            <w:r>
              <w:rPr>
                <w:rFonts w:cs="Times New Roman" w:ascii="Times New Roman" w:hAnsi="Times New Roman"/>
                <w:b/>
                <w:bCs/>
                <w:sz w:val="24"/>
              </w:rPr>
              <w:t xml:space="preserve">  </w:t>
            </w:r>
            <w:r>
              <w:rPr>
                <w:rFonts w:cs="Times New Roman" w:ascii="Times New Roman" w:hAnsi="Times New Roman"/>
                <w:b/>
                <w:bCs/>
                <w:sz w:val="24"/>
              </w:rPr>
              <w:t>Utility Deficit</w:t>
            </w:r>
          </w:p>
        </w:tc>
        <w:tc>
          <w:tcPr>
            <w:tcW w:w="900" w:type="dxa"/>
            <w:tcBorders>
              <w:top w:val="single" w:sz="4" w:space="0" w:color="000000"/>
              <w:start w:val="single" w:sz="4" w:space="0" w:color="000000"/>
              <w:bottom w:val="single" w:sz="4" w:space="0" w:color="000000"/>
              <w:end w:val="single" w:sz="4" w:space="0" w:color="000000"/>
            </w:tcBorders>
          </w:tcPr>
          <w:p>
            <w:pPr>
              <w:pStyle w:val="standard"/>
              <w:snapToGrid w:val="false"/>
              <w:spacing w:lineRule="auto" w:line="240"/>
              <w:ind w:hanging="0" w:end="0"/>
              <w:jc w:val="end"/>
              <w:rPr>
                <w:rFonts w:ascii="Times New Roman" w:hAnsi="Times New Roman" w:cs="Times New Roman"/>
                <w:b/>
                <w:bCs/>
                <w:sz w:val="24"/>
              </w:rPr>
            </w:pPr>
            <w:r>
              <w:rPr>
                <w:rFonts w:cs="Times New Roman" w:ascii="Times New Roman" w:hAnsi="Times New Roman"/>
                <w:b/>
                <w:bCs/>
                <w:sz w:val="24"/>
              </w:rPr>
            </w:r>
          </w:p>
        </w:tc>
      </w:tr>
      <w:tr>
        <w:trPr/>
        <w:tc>
          <w:tcPr>
            <w:tcW w:w="3708" w:type="dxa"/>
            <w:tcBorders>
              <w:top w:val="single" w:sz="4" w:space="0" w:color="000000"/>
              <w:start w:val="single" w:sz="4" w:space="0" w:color="000000"/>
              <w:bottom w:val="single" w:sz="4" w:space="0" w:color="000000"/>
              <w:end w:val="single" w:sz="4" w:space="0" w:color="000000"/>
            </w:tcBorders>
          </w:tcPr>
          <w:p>
            <w:pPr>
              <w:pStyle w:val="standard"/>
              <w:spacing w:lineRule="auto" w:line="240"/>
              <w:ind w:hanging="0" w:end="0"/>
              <w:rPr>
                <w:rFonts w:ascii="Times New Roman" w:hAnsi="Times New Roman" w:cs="Times New Roman"/>
                <w:sz w:val="24"/>
              </w:rPr>
            </w:pPr>
            <w:r>
              <w:rPr>
                <w:rFonts w:cs="Times New Roman" w:ascii="Times New Roman" w:hAnsi="Times New Roman"/>
                <w:sz w:val="24"/>
              </w:rPr>
              <w:t xml:space="preserve">T&amp;D not received </w:t>
            </w:r>
          </w:p>
        </w:tc>
        <w:tc>
          <w:tcPr>
            <w:tcW w:w="900" w:type="dxa"/>
            <w:tcBorders>
              <w:top w:val="single" w:sz="4" w:space="0" w:color="000000"/>
              <w:start w:val="single" w:sz="4" w:space="0" w:color="000000"/>
              <w:bottom w:val="single" w:sz="4" w:space="0" w:color="000000"/>
              <w:end w:val="single" w:sz="4" w:space="0" w:color="000000"/>
            </w:tcBorders>
          </w:tcPr>
          <w:p>
            <w:pPr>
              <w:pStyle w:val="standard"/>
              <w:spacing w:lineRule="auto" w:line="240"/>
              <w:ind w:hanging="0" w:end="0"/>
              <w:jc w:val="end"/>
              <w:rPr>
                <w:rFonts w:ascii="Times New Roman" w:hAnsi="Times New Roman" w:cs="Times New Roman"/>
                <w:sz w:val="24"/>
              </w:rPr>
            </w:pPr>
            <w:r>
              <w:rPr>
                <w:rFonts w:cs="Times New Roman" w:ascii="Times New Roman" w:hAnsi="Times New Roman"/>
                <w:sz w:val="24"/>
              </w:rPr>
              <w:t>10¢</w:t>
            </w:r>
          </w:p>
        </w:tc>
      </w:tr>
      <w:tr>
        <w:trPr/>
        <w:tc>
          <w:tcPr>
            <w:tcW w:w="3708" w:type="dxa"/>
            <w:tcBorders>
              <w:top w:val="single" w:sz="4" w:space="0" w:color="000000"/>
              <w:start w:val="single" w:sz="4" w:space="0" w:color="000000"/>
              <w:bottom w:val="single" w:sz="4" w:space="0" w:color="000000"/>
              <w:end w:val="single" w:sz="4" w:space="0" w:color="000000"/>
            </w:tcBorders>
          </w:tcPr>
          <w:p>
            <w:pPr>
              <w:pStyle w:val="standard"/>
              <w:spacing w:lineRule="auto" w:line="240"/>
              <w:ind w:hanging="0" w:end="0"/>
              <w:rPr>
                <w:rFonts w:ascii="Times New Roman" w:hAnsi="Times New Roman" w:cs="Times New Roman"/>
                <w:strike/>
                <w:sz w:val="24"/>
              </w:rPr>
            </w:pPr>
            <w:r>
              <w:rPr>
                <w:rFonts w:cs="Times New Roman" w:ascii="Times New Roman" w:hAnsi="Times New Roman"/>
                <w:strike/>
                <w:sz w:val="24"/>
              </w:rPr>
              <w:t xml:space="preserve">Credit to Direct Access Customer </w:t>
            </w:r>
          </w:p>
        </w:tc>
        <w:tc>
          <w:tcPr>
            <w:tcW w:w="900" w:type="dxa"/>
            <w:tcBorders>
              <w:top w:val="single" w:sz="4" w:space="0" w:color="000000"/>
              <w:start w:val="single" w:sz="4" w:space="0" w:color="000000"/>
              <w:bottom w:val="single" w:sz="4" w:space="0" w:color="000000"/>
              <w:end w:val="single" w:sz="4" w:space="0" w:color="000000"/>
            </w:tcBorders>
          </w:tcPr>
          <w:p>
            <w:pPr>
              <w:pStyle w:val="standard"/>
              <w:spacing w:lineRule="auto" w:line="240"/>
              <w:ind w:hanging="0" w:end="0"/>
              <w:jc w:val="end"/>
              <w:rPr>
                <w:rFonts w:ascii="Times New Roman" w:hAnsi="Times New Roman" w:cs="Times New Roman"/>
                <w:strike/>
                <w:sz w:val="24"/>
              </w:rPr>
            </w:pPr>
            <w:r>
              <w:rPr>
                <w:rFonts w:cs="Times New Roman" w:ascii="Times New Roman" w:hAnsi="Times New Roman"/>
                <w:strike/>
                <w:sz w:val="24"/>
              </w:rPr>
              <w:t xml:space="preserve">  </w:t>
            </w:r>
            <w:r>
              <w:rPr>
                <w:rFonts w:cs="Times New Roman" w:ascii="Times New Roman" w:hAnsi="Times New Roman"/>
                <w:strike/>
                <w:sz w:val="24"/>
                <w:u w:val="single"/>
              </w:rPr>
              <w:t>5¢</w:t>
            </w:r>
          </w:p>
        </w:tc>
      </w:tr>
      <w:tr>
        <w:trPr/>
        <w:tc>
          <w:tcPr>
            <w:tcW w:w="3708" w:type="dxa"/>
            <w:tcBorders>
              <w:top w:val="single" w:sz="4" w:space="0" w:color="000000"/>
              <w:start w:val="single" w:sz="4" w:space="0" w:color="000000"/>
              <w:bottom w:val="single" w:sz="4" w:space="0" w:color="000000"/>
              <w:end w:val="single" w:sz="4" w:space="0" w:color="000000"/>
            </w:tcBorders>
          </w:tcPr>
          <w:p>
            <w:pPr>
              <w:pStyle w:val="standard"/>
              <w:spacing w:lineRule="auto" w:line="240"/>
              <w:ind w:hanging="0" w:end="0"/>
              <w:rPr>
                <w:rFonts w:ascii="Times New Roman" w:hAnsi="Times New Roman" w:cs="Times New Roman"/>
                <w:sz w:val="24"/>
                <w:u w:val="single"/>
              </w:rPr>
            </w:pPr>
            <w:r>
              <w:rPr>
                <w:rFonts w:cs="Times New Roman" w:ascii="Times New Roman" w:hAnsi="Times New Roman"/>
                <w:sz w:val="24"/>
                <w:u w:val="single"/>
              </w:rPr>
              <w:t>Generation cost not received</w:t>
            </w:r>
          </w:p>
        </w:tc>
        <w:tc>
          <w:tcPr>
            <w:tcW w:w="900" w:type="dxa"/>
            <w:tcBorders>
              <w:top w:val="single" w:sz="4" w:space="0" w:color="000000"/>
              <w:start w:val="single" w:sz="4" w:space="0" w:color="000000"/>
              <w:bottom w:val="single" w:sz="4" w:space="0" w:color="000000"/>
              <w:end w:val="single" w:sz="4" w:space="0" w:color="000000"/>
            </w:tcBorders>
          </w:tcPr>
          <w:p>
            <w:pPr>
              <w:pStyle w:val="standard"/>
              <w:spacing w:lineRule="auto" w:line="240"/>
              <w:ind w:hanging="0" w:end="0"/>
              <w:jc w:val="end"/>
              <w:rPr>
                <w:rFonts w:ascii="Times New Roman" w:hAnsi="Times New Roman" w:cs="Times New Roman"/>
                <w:sz w:val="24"/>
              </w:rPr>
            </w:pPr>
            <w:r>
              <w:rPr>
                <w:rFonts w:cs="Times New Roman" w:ascii="Times New Roman" w:hAnsi="Times New Roman"/>
                <w:sz w:val="24"/>
              </w:rPr>
              <w:t>5¢</w:t>
            </w:r>
          </w:p>
        </w:tc>
      </w:tr>
      <w:tr>
        <w:trPr/>
        <w:tc>
          <w:tcPr>
            <w:tcW w:w="3708" w:type="dxa"/>
            <w:tcBorders>
              <w:top w:val="single" w:sz="4" w:space="0" w:color="000000"/>
              <w:start w:val="single" w:sz="4" w:space="0" w:color="000000"/>
              <w:bottom w:val="single" w:sz="4" w:space="0" w:color="000000"/>
              <w:end w:val="single" w:sz="4" w:space="0" w:color="000000"/>
            </w:tcBorders>
          </w:tcPr>
          <w:p>
            <w:pPr>
              <w:pStyle w:val="standard"/>
              <w:spacing w:lineRule="auto" w:line="240"/>
              <w:ind w:hanging="0" w:end="0"/>
              <w:rPr/>
            </w:pPr>
            <w:r>
              <w:rPr>
                <w:rFonts w:cs="Times New Roman" w:ascii="Times New Roman" w:hAnsi="Times New Roman"/>
                <w:sz w:val="24"/>
              </w:rPr>
              <w:t xml:space="preserve">   </w:t>
            </w:r>
            <w:r>
              <w:rPr>
                <w:rFonts w:cs="Times New Roman" w:ascii="Times New Roman" w:hAnsi="Times New Roman"/>
                <w:b/>
                <w:bCs/>
                <w:sz w:val="24"/>
              </w:rPr>
              <w:t>Total Utility Deficit</w:t>
            </w:r>
          </w:p>
        </w:tc>
        <w:tc>
          <w:tcPr>
            <w:tcW w:w="900" w:type="dxa"/>
            <w:tcBorders>
              <w:top w:val="single" w:sz="4" w:space="0" w:color="000000"/>
              <w:start w:val="single" w:sz="4" w:space="0" w:color="000000"/>
              <w:bottom w:val="single" w:sz="4" w:space="0" w:color="000000"/>
              <w:end w:val="single" w:sz="4" w:space="0" w:color="000000"/>
            </w:tcBorders>
          </w:tcPr>
          <w:p>
            <w:pPr>
              <w:pStyle w:val="standard"/>
              <w:spacing w:lineRule="auto" w:line="240"/>
              <w:ind w:hanging="0" w:end="0"/>
              <w:jc w:val="end"/>
              <w:rPr>
                <w:rFonts w:ascii="Times New Roman" w:hAnsi="Times New Roman" w:cs="Times New Roman"/>
                <w:sz w:val="24"/>
              </w:rPr>
            </w:pPr>
            <w:r>
              <w:rPr>
                <w:rFonts w:cs="Times New Roman" w:ascii="Times New Roman" w:hAnsi="Times New Roman"/>
                <w:sz w:val="24"/>
              </w:rPr>
              <w:t>15¢</w:t>
            </w:r>
          </w:p>
        </w:tc>
      </w:tr>
    </w:tbl>
    <w:p>
      <w:pPr>
        <w:pStyle w:val="Normal"/>
        <w:jc w:val="both"/>
        <w:rPr/>
      </w:pPr>
      <w:r>
        <w:rPr/>
      </w:r>
    </w:p>
    <w:p>
      <w:pPr>
        <w:pStyle w:val="BodyTextIndent3"/>
        <w:rPr/>
      </w:pPr>
      <w:r>
        <w:rPr/>
        <w:t>In both cases, the utility deficit is the same 15¢.  Where, then, is the subsidy by SCE to direct access customers, if the utility ends up in precisely the same financial condition with bundled customers as it does with direct access?  The allegation of a direct access subsidy is sheer bunk.</w:t>
      </w:r>
    </w:p>
    <w:p>
      <w:pPr>
        <w:pStyle w:val="Normal"/>
        <w:ind w:start="360" w:end="0"/>
        <w:rPr/>
      </w:pPr>
      <w:r>
        <w:rPr/>
      </w:r>
    </w:p>
    <w:p>
      <w:pPr>
        <w:pStyle w:val="Heading2"/>
        <w:rPr/>
      </w:pPr>
      <w:r>
        <w:rPr/>
        <w:t xml:space="preserve">Both Decisions Are Imprecise With Regard To A Number Of Vital Issues </w:t>
      </w:r>
    </w:p>
    <w:p>
      <w:pPr>
        <w:pStyle w:val="BodyText"/>
        <w:widowControl/>
        <w:spacing w:lineRule="auto" w:line="240"/>
        <w:ind w:firstLine="720" w:end="0"/>
        <w:jc w:val="both"/>
        <w:rPr/>
      </w:pPr>
      <w:r>
        <w:rPr/>
      </w:r>
    </w:p>
    <w:p>
      <w:pPr>
        <w:pStyle w:val="BodyText"/>
        <w:widowControl/>
        <w:ind w:firstLine="720" w:end="0"/>
        <w:jc w:val="both"/>
        <w:rPr/>
      </w:pPr>
      <w:r>
        <w:rPr/>
        <w:t>Both the ADD and the DD are totally silent with regard to the literally hundreds of millions of dollars owed to direct access customers and the ESPs who served them for power sales made prior to January 5, 2001.  The decisions note that SCE requests that, “[F]rom the time period beginning January 5, 2001 and continuing until the date that a solution to the energy crisis is reached and Edison has recovered from its liquidity crisis, payments of PX Energy Credits to ESPs and direct access customers shall be suspended.”  However, Edison actually stopped paying months before.  The utilities should be required to pay all amounts due for periods prior to January 5.</w:t>
      </w:r>
    </w:p>
    <w:p>
      <w:pPr>
        <w:pStyle w:val="BodyText"/>
        <w:widowControl/>
        <w:ind w:firstLine="720" w:end="0"/>
        <w:jc w:val="both"/>
        <w:rPr/>
      </w:pPr>
      <w:r>
        <w:rPr/>
        <w:t xml:space="preserve">The DD is also imprecise because Ordering paragraph 3 refers only to the cessation of cash payments, but says nothing about the utilities’ continuing obligation to accrue credits for DA customers.  The ADD corrects this omission when it provides that, “SCE and PG&amp;E shall not make any payments of cash to direct access customers or energy service providers to satisfy the customers’ Power Exchange credit balance, </w:t>
      </w:r>
      <w:r>
        <w:rPr>
          <w:u w:val="single"/>
        </w:rPr>
        <w:t>but shall continue to accrue and track such credits</w:t>
      </w:r>
      <w:r>
        <w:rPr/>
        <w:t>.” [Emphasis added.]  It must be noted that SCE did not suggest that its obligation to eventually make all payments due and owing be eliminated.  Rather, the utility requested that its payment obligation be “suspended.”  If such a suspension is granted, the utilities must be required to continue to accrue on their books any and all credits that are due.</w:t>
      </w:r>
    </w:p>
    <w:p>
      <w:pPr>
        <w:pStyle w:val="BodyText"/>
        <w:widowControl/>
        <w:ind w:firstLine="720" w:end="0"/>
        <w:jc w:val="both"/>
        <w:rPr/>
      </w:pPr>
      <w:r>
        <w:rPr/>
      </w:r>
    </w:p>
    <w:p>
      <w:pPr>
        <w:pStyle w:val="Heading2"/>
        <w:rPr>
          <w:u w:val="single"/>
        </w:rPr>
      </w:pPr>
      <w:r>
        <w:rPr/>
        <w:t xml:space="preserve"> </w:t>
      </w:r>
      <w:r>
        <w:rPr>
          <w:u w:val="single"/>
        </w:rPr>
        <w:t>The Decisions Offer No Subjective Criteria That Could Be Used to Determine     When Its Liquidity Crisis Has Ended.</w:t>
      </w:r>
    </w:p>
    <w:p>
      <w:pPr>
        <w:pStyle w:val="Normal"/>
        <w:jc w:val="both"/>
        <w:rPr>
          <w:b/>
          <w:u w:val="single"/>
        </w:rPr>
      </w:pPr>
      <w:r>
        <w:rPr>
          <w:b/>
          <w:u w:val="single"/>
        </w:rPr>
      </w:r>
    </w:p>
    <w:p>
      <w:pPr>
        <w:pStyle w:val="Normal"/>
        <w:spacing w:lineRule="auto" w:line="480"/>
        <w:ind w:firstLine="720" w:end="0"/>
        <w:jc w:val="both"/>
        <w:rPr/>
      </w:pPr>
      <w:r>
        <w:rPr/>
        <w:t>Neither draft decision provides any subjective criteria to determine when the payment suspension should be lifted.  The decisions simply cite SCE’s statement that, “When a solution to the energy crisis is reached, and when SCE’s cash flow situation is improved, SCE intends to begin paying to ESPs and direct access customers the PX Energy Credits that were suspended.”  Does this mean approval by this Commission and the Legislature of the Memorandum of Understanding (“MOU”) executed by SCE and DWR?  Does it mean the approval of some successor mechanism acceptable to SCE?  What does it mean with regard to PG&amp;E, especially since that utility has filed in bankruptcy?  The decisions simply pass on these critical issues.</w:t>
      </w:r>
    </w:p>
    <w:p>
      <w:pPr>
        <w:pStyle w:val="Normal"/>
        <w:spacing w:lineRule="auto" w:line="480"/>
        <w:ind w:firstLine="720" w:end="0"/>
        <w:jc w:val="both"/>
        <w:rPr/>
      </w:pPr>
      <w:r>
        <w:rPr/>
        <w:t xml:space="preserve">Telling a debtor that it can pay when it feels like paying is hardly conducive to responsible payment practices.  One doubts whether ALJ Barnett or Commissioner Bilas would be equally lenient with their own creditors, or that the Commission itself is so casual with regard to the payment of moneys due to it.  Why then is it presumed acceptable for SCE and the other utilities to be their own best judge of when they should resume payments to direct access customers and ESPs?  The decisions are troublingly silent with regard to this fundamental issue.  </w:t>
      </w:r>
    </w:p>
    <w:p>
      <w:pPr>
        <w:pStyle w:val="Normal"/>
        <w:spacing w:lineRule="auto" w:line="480"/>
        <w:ind w:firstLine="720" w:end="0"/>
        <w:jc w:val="both"/>
        <w:rPr/>
      </w:pPr>
      <w:r>
        <w:rPr/>
        <w:t xml:space="preserve">AReM therefore recommends that any decision that approves the SCE Petition must specify the conditions that must occur to reinstate the payment obligation.  Examples for SCE could include approval of the MOU, the return of SCE’s securities to investment grade rating (BBB or better), the removal of SCE from “credit watch” standing with Standard and Poors, etc.  </w:t>
      </w:r>
      <w:r>
        <w:rPr>
          <w:b/>
          <w:bCs/>
        </w:rPr>
        <w:t xml:space="preserve">[help me out with these, AReM members.]  </w:t>
      </w:r>
      <w:r>
        <w:rPr/>
        <w:t xml:space="preserve">For PG&amp;E it could be a successful exit from Chapter 11 status. </w:t>
      </w:r>
      <w:r>
        <w:rPr>
          <w:b/>
          <w:bCs/>
        </w:rPr>
        <w:t xml:space="preserve"> </w:t>
      </w:r>
      <w:r>
        <w:rPr/>
        <w:t>Failure to provide at least some degree of specificity on this issue would be irresponsible and fundamentally unfair to direct access customers.</w:t>
      </w:r>
    </w:p>
    <w:p>
      <w:pPr>
        <w:pStyle w:val="BodyTextIndent2"/>
        <w:spacing w:lineRule="auto" w:line="480"/>
        <w:jc w:val="both"/>
        <w:rPr>
          <w:sz w:val="24"/>
        </w:rPr>
      </w:pPr>
      <w:r>
        <w:rPr>
          <w:sz w:val="24"/>
        </w:rPr>
      </w:r>
      <w:r>
        <w:br w:type="page"/>
      </w:r>
    </w:p>
    <w:p>
      <w:pPr>
        <w:pStyle w:val="Heading2"/>
        <w:rPr>
          <w:u w:val="single"/>
        </w:rPr>
      </w:pPr>
      <w:r>
        <w:rPr>
          <w:u w:val="single"/>
        </w:rPr>
        <w:t xml:space="preserve">It Is Improper to Pre-Determine the Outcome of Outstanding Complaints Against Edison By Making The Proposed Rulings In The Draft Orders. </w:t>
      </w:r>
    </w:p>
    <w:p>
      <w:pPr>
        <w:pStyle w:val="Normal"/>
        <w:jc w:val="both"/>
        <w:rPr>
          <w:b/>
          <w:bCs/>
          <w:u w:val="single"/>
        </w:rPr>
      </w:pPr>
      <w:r>
        <w:rPr>
          <w:b/>
          <w:bCs/>
          <w:u w:val="single"/>
        </w:rPr>
      </w:r>
    </w:p>
    <w:p>
      <w:pPr>
        <w:pStyle w:val="BodyText2"/>
        <w:ind w:firstLine="720" w:end="0"/>
        <w:rPr>
          <w:b/>
          <w:bCs/>
        </w:rPr>
      </w:pPr>
      <w:r>
        <w:rPr/>
        <w:t xml:space="preserve">The payment of PX credits is currently before the Commission in the form of complaints filed by APS Energy Services (“APSES”) </w:t>
      </w:r>
      <w:r>
        <w:rPr>
          <w:rStyle w:val="FootnoteCharacters"/>
          <w:rStyle w:val="FootnoteReference"/>
        </w:rPr>
        <w:footnoteReference w:id="3"/>
      </w:r>
      <w:r>
        <w:rPr/>
        <w:t xml:space="preserve"> and Enron Energy Services, Inc. and Enron Energy Marketing Corp. (“Enron”) </w:t>
      </w:r>
      <w:r>
        <w:rPr>
          <w:rStyle w:val="FootnoteCharacters"/>
          <w:rStyle w:val="FootnoteReference"/>
        </w:rPr>
        <w:footnoteReference w:id="4"/>
      </w:r>
      <w:r>
        <w:rPr/>
        <w:t xml:space="preserve"> versus SCE.  APSES,</w:t>
      </w:r>
      <w:r>
        <w:rPr>
          <w:rStyle w:val="FootnoteCharacters"/>
          <w:rStyle w:val="FootnoteReference"/>
        </w:rPr>
        <w:footnoteReference w:id="5"/>
      </w:r>
      <w:r>
        <w:rPr/>
        <w:t xml:space="preserve"> Enron</w:t>
      </w:r>
      <w:r>
        <w:rPr>
          <w:rStyle w:val="FootnoteCharacters"/>
          <w:rStyle w:val="FootnoteReference"/>
        </w:rPr>
        <w:footnoteReference w:id="6"/>
      </w:r>
      <w:r>
        <w:rPr/>
        <w:t xml:space="preserve"> and ABAG Publicly Owned Energy Resources (“ABAG”)</w:t>
      </w:r>
      <w:r>
        <w:rPr>
          <w:rStyle w:val="FootnoteCharacters"/>
        </w:rPr>
        <w:t xml:space="preserve"> </w:t>
      </w:r>
      <w:r>
        <w:rPr>
          <w:rStyle w:val="FootnoteCharacters"/>
          <w:rStyle w:val="FootnoteReference"/>
        </w:rPr>
        <w:footnoteReference w:id="7"/>
      </w:r>
      <w:r>
        <w:rPr/>
        <w:t xml:space="preserve"> have also filed separate complaints against Pacific Gas &amp; Electric Company. </w:t>
      </w:r>
    </w:p>
    <w:p>
      <w:pPr>
        <w:pStyle w:val="Normal"/>
        <w:spacing w:lineRule="auto" w:line="480"/>
        <w:ind w:firstLine="720" w:end="0"/>
        <w:jc w:val="both"/>
        <w:rPr/>
      </w:pPr>
      <w:r>
        <w:rPr/>
        <w:t xml:space="preserve">Also, SCE, APSES and Enron have entered into a </w:t>
      </w:r>
      <w:r>
        <w:rPr>
          <w:bCs/>
        </w:rPr>
        <w:t>Stipulation Staying Further Proceedings In Case Nos. 01-01-029 and 01-02-031 Until June 15,</w:t>
      </w:r>
      <w:r>
        <w:rPr>
          <w:b/>
        </w:rPr>
        <w:t xml:space="preserve"> </w:t>
      </w:r>
      <w:r>
        <w:rPr>
          <w:bCs/>
        </w:rPr>
        <w:t xml:space="preserve">2001 and a subsequent Motion To Adopt Amendment To Stipulation Staying Further Proceedings In Case Nos. 01-01-029 and 01-02-031.  These agreements note that </w:t>
      </w:r>
      <w:r>
        <w:rPr/>
        <w:t xml:space="preserve">on April 5, 2001, SCE filed with the Commission Advice Letter No. 1529-E, which proposes the use of a procured energy (“PE”) cost calculation for certain purposes including the calculation of energy credits for direct access customers from and after January 19, 2001 (“PE Advice Letter”).   They further </w:t>
      </w:r>
      <w:r>
        <w:rPr>
          <w:bCs/>
        </w:rPr>
        <w:t>provide that i</w:t>
      </w:r>
      <w:r>
        <w:rPr/>
        <w:t xml:space="preserve">f the MOU (or any successor mechanism acceptable to SCE) is implemented and the PE Advice Letter adopted, SCE will commit to pay the energy credit to Enron and APSES using the methodology it employed up to January 5, 2001 for energy provided to direct access customers of those ESPs through and including January 18, 2001.  </w:t>
      </w:r>
    </w:p>
    <w:p>
      <w:pPr>
        <w:pStyle w:val="Normal"/>
        <w:spacing w:lineRule="auto" w:line="480"/>
        <w:ind w:firstLine="720" w:end="0"/>
        <w:jc w:val="both"/>
        <w:rPr/>
      </w:pPr>
      <w:r>
        <w:rPr/>
        <w:t xml:space="preserve">If the MOU (or any successor mechanism acceptable to SCE) is implemented and the PE Advice Letter adopted, SCE will further commit that it will calculate and pay the energy credit to the Enron ESPs and APS using the PE cost calculation contained in the PE Advice Letter for the period commencing on January 19, 2001 and ending on the date fixed by the Commission or reviewing court as the end date of the rate freeze.  Calculation of those energy credits utilizing the PX Rate Schedule will include a pro-ration of bill cycles through and including January 18, 2001, and true-ups for ISO settlement charge forecasts based on the December 2000 and January 2001 final ISO invoices.   </w:t>
      </w:r>
    </w:p>
    <w:p>
      <w:pPr>
        <w:pStyle w:val="BodyTextIndent2"/>
        <w:spacing w:lineRule="auto" w:line="480"/>
        <w:jc w:val="both"/>
        <w:rPr>
          <w:sz w:val="24"/>
        </w:rPr>
      </w:pPr>
      <w:r>
        <w:rPr>
          <w:sz w:val="24"/>
        </w:rPr>
        <w:t>These agreements indicate that SCE and two concerned ESPs are making progress on reaching an amicable solution to their disputes concerning the PX Credit.  Issuance of either the DD or the ADD at this time will compromise those settlement discussions and deny the complainants the procedural due process to which they are entitled.  This Commission has long had a policy of encouraging parties to work out solutions to problems of general interest cooperatively and has frequently deterred from issuing decisions that would compromise independent settlement discussions that are progressing reasonably.  AReM asks that the Commission act similarly in this proceeding and refrain from approving either the DD or the ADD at its June 28, 2001 meeting.</w:t>
      </w:r>
    </w:p>
    <w:p>
      <w:pPr>
        <w:pStyle w:val="BodyText"/>
        <w:widowControl/>
        <w:ind w:firstLine="720" w:end="0"/>
        <w:jc w:val="both"/>
        <w:rPr>
          <w:b/>
          <w:bCs/>
          <w:sz w:val="24"/>
        </w:rPr>
      </w:pPr>
      <w:r>
        <w:rPr>
          <w:b/>
          <w:bCs/>
          <w:sz w:val="24"/>
        </w:rPr>
      </w:r>
    </w:p>
    <w:p>
      <w:pPr>
        <w:pStyle w:val="Heading2"/>
        <w:rPr/>
      </w:pPr>
      <w:r>
        <w:rPr/>
        <w:t xml:space="preserve"> </w:t>
      </w:r>
      <w:r>
        <w:rPr>
          <w:u w:val="single"/>
        </w:rPr>
        <w:t>The Petition is Procedurally Defective.</w:t>
      </w:r>
    </w:p>
    <w:p>
      <w:pPr>
        <w:pStyle w:val="Normal"/>
        <w:ind w:firstLine="720" w:end="0"/>
        <w:jc w:val="both"/>
        <w:rPr>
          <w:b/>
        </w:rPr>
      </w:pPr>
      <w:r>
        <w:rPr>
          <w:b/>
        </w:rPr>
      </w:r>
    </w:p>
    <w:p>
      <w:pPr>
        <w:pStyle w:val="BodyTextIndent3"/>
        <w:rPr/>
      </w:pPr>
      <w:r>
        <w:rPr/>
        <w:t>The draft decisions would approve an SCE Petition that was, and continues to be, procedurally defective.  The Petition failed to comply with Rule 47 of the Commission’s Rules of Practice and Procedure pertaining to petitions for modifications and Rule 51 dealing with stipulations and settlements.  Rule 47(i) provides as follows:</w:t>
      </w:r>
    </w:p>
    <w:p>
      <w:pPr>
        <w:pStyle w:val="Normal"/>
        <w:ind w:start="1440" w:end="1440"/>
        <w:jc w:val="both"/>
        <w:rPr>
          <w:b/>
        </w:rPr>
      </w:pPr>
      <w:r>
        <w:rPr/>
        <w:t xml:space="preserve">(i) Unless otherwise ordered by the Commission, the filing of a petition for modification </w:t>
      </w:r>
      <w:r>
        <w:rPr>
          <w:u w:val="single"/>
        </w:rPr>
        <w:t>does not stay or excuse compliance with the order of the decision proposed to be modified</w:t>
      </w:r>
      <w:r>
        <w:rPr/>
        <w:t>.  The decision remains in effect until the effective date of any decision modifying the decision.  [emphasis added]</w:t>
      </w:r>
    </w:p>
    <w:p>
      <w:pPr>
        <w:pStyle w:val="Normal"/>
        <w:ind w:start="720" w:end="0"/>
        <w:jc w:val="both"/>
        <w:rPr>
          <w:b/>
        </w:rPr>
      </w:pPr>
      <w:r>
        <w:rPr>
          <w:b/>
        </w:rPr>
      </w:r>
    </w:p>
    <w:p>
      <w:pPr>
        <w:pStyle w:val="BodyTextIndent3"/>
        <w:rPr/>
      </w:pPr>
      <w:r>
        <w:rPr/>
        <w:t>However, SCE explicitly failed to comply with this requirement.  Although the utility couched its filing in the form of a request to suspend payment of the PX energy credit, the reality is that it had already done so, in direct defiance of a lawful Commission order, D.99-06-058.  SCE therefore came to this proceeding with “unclean hands” and requested Commission sanction, after the fact, for its continuing, ongoing violation of D.99-06-058.</w:t>
      </w:r>
    </w:p>
    <w:p>
      <w:pPr>
        <w:pStyle w:val="Normal"/>
        <w:spacing w:lineRule="auto" w:line="480"/>
        <w:ind w:firstLine="720" w:end="0"/>
        <w:jc w:val="both"/>
        <w:rPr/>
      </w:pPr>
      <w:r>
        <w:rPr/>
        <w:t xml:space="preserve">The Commission must consider the precedent that it would set should it grant the SCE Petition.  Approval of a tardy Petition for Modification, filed </w:t>
      </w:r>
      <w:r>
        <w:rPr>
          <w:u w:val="single"/>
        </w:rPr>
        <w:t>after</w:t>
      </w:r>
      <w:r>
        <w:rPr/>
        <w:t xml:space="preserve"> the utility has already violated a lawful Commission order, will only encourage further defiance of other Commission orders by both that utility and others who are similarly situated.  This is hardly the message that should be sent to entities that are regulated by this Commission.</w:t>
      </w:r>
    </w:p>
    <w:p>
      <w:pPr>
        <w:pStyle w:val="Normal"/>
        <w:spacing w:lineRule="auto" w:line="480"/>
        <w:ind w:firstLine="720" w:end="0"/>
        <w:jc w:val="both"/>
        <w:rPr>
          <w:b/>
        </w:rPr>
      </w:pPr>
      <w:r>
        <w:rPr/>
        <w:t>Furthermore, the SCE Petition is also procedurally deficient because it conflicts with several provisions of Rule 51 dealing with stipulations and settlements.  For example, Rule 51.1 (a) provides as follows:</w:t>
      </w:r>
    </w:p>
    <w:p>
      <w:pPr>
        <w:pStyle w:val="Normal"/>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start="1440" w:end="1440"/>
        <w:jc w:val="both"/>
        <w:rPr/>
      </w:pPr>
      <w:r>
        <w:rPr/>
        <w:t xml:space="preserve">(a) Parties to a Commission proceeding may stipulate to the resolution of any issue of law or fact material to the proceeding, or may settle on a mutually acceptable outcome to the proceeding, with or without resolving material issues.  Resolution shall be limited to the issues in that proceeding and </w:t>
      </w:r>
      <w:r>
        <w:rPr>
          <w:u w:val="single"/>
        </w:rPr>
        <w:t>shall not extend to substantive issues which may come before the Commission in other or future proceedings</w:t>
      </w:r>
      <w:r>
        <w:rPr/>
        <w:t>. [emphasis added]</w:t>
      </w:r>
    </w:p>
    <w:p>
      <w:pPr>
        <w:pStyle w:val="Normal"/>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start="1440" w:end="1440"/>
        <w:jc w:val="both"/>
        <w:rPr/>
      </w:pPr>
      <w:r>
        <w:rPr/>
      </w:r>
    </w:p>
    <w:p>
      <w:pPr>
        <w:pStyle w:val="Normal"/>
        <w:spacing w:lineRule="auto" w:line="480"/>
        <w:jc w:val="both"/>
        <w:rPr/>
      </w:pPr>
      <w:r>
        <w:rPr/>
        <w:t>However, it is clear that the SCE request is motivated by a substantive issue which has already come before the Commission in several other proceedings, most specifically the rate stabilization plan application filed by SCE in its November 16, 2000, Application 00-11-038, and ruled on by the Commission in its Decision 01-05-064, issued on May 15, 2001.</w:t>
      </w:r>
    </w:p>
    <w:p>
      <w:pPr>
        <w:pStyle w:val="Normal"/>
        <w:spacing w:lineRule="auto" w:line="480"/>
        <w:ind w:firstLine="720" w:end="0"/>
        <w:jc w:val="both"/>
        <w:rPr/>
      </w:pPr>
      <w:r>
        <w:rPr/>
        <w:t>In addition, Rule 51.2 provides that, “Parties to a Commission proceeding may propose a stipulation or settlement for adoption by the Commission (1) any time after the first prehearing conference and (2) within 30 days after the last day of hearing.”  There is no provision for stipulations to be proposed after the dates specified above.  Yet SCE’s Petition essentially proposes a new stipulation, one which has not been subject to negotiation either by parties to the 1998 RAP proceeding, or even the parties to the original stipulation itself.</w:t>
      </w:r>
    </w:p>
    <w:p>
      <w:pPr>
        <w:pStyle w:val="Normal"/>
        <w:spacing w:lineRule="auto" w:line="480"/>
        <w:ind w:firstLine="720" w:end="0"/>
        <w:jc w:val="both"/>
        <w:rPr/>
      </w:pPr>
      <w:r>
        <w:rPr/>
        <w:t>Finally, the SCE Petition is procedurally defective because it conflicts with the provisions of Rule 51.6(a) dealing with contested stipulations and settlements.  Rule 51.6(a) specifies that:</w:t>
      </w:r>
    </w:p>
    <w:p>
      <w:pPr>
        <w:pStyle w:val="Normal"/>
        <w:ind w:start="1440" w:end="1440"/>
        <w:jc w:val="both"/>
        <w:rPr/>
      </w:pPr>
      <w:r>
        <w:rPr/>
        <w:t>(a) If the stipulation or settlement is contested, pursuant to Rule 51.4, in whole or in part on any material issue of fact by any party, the Commission will schedule a hearing on the contested issue(s) as soon after the close of the comment period as reasonably possible.  Discovery will be permitted and should be well underway prior to the close of the comment period.  Parties to the stipulation or settlement must provide one or more witnesses to testify concerning the contested issues and to undergo cross-examination by contesting parties.  Contesting parties may present evidence and testimony on the contested issues.</w:t>
      </w:r>
    </w:p>
    <w:p>
      <w:pPr>
        <w:pStyle w:val="Normal"/>
        <w:ind w:start="1440" w:end="1440"/>
        <w:jc w:val="both"/>
        <w:rPr>
          <w:b/>
        </w:rPr>
      </w:pPr>
      <w:r>
        <w:rPr>
          <w:b/>
        </w:rPr>
      </w:r>
    </w:p>
    <w:p>
      <w:pPr>
        <w:pStyle w:val="Normal"/>
        <w:spacing w:lineRule="auto" w:line="480"/>
        <w:jc w:val="both"/>
        <w:rPr/>
      </w:pPr>
      <w:r>
        <w:rPr/>
        <w:t>Yet SCE offers a modified stipulation which would clearly be contested by parties to the 1998 RAP proceeding, without affording those parties the right request hearings, conduct discovery and cross-examine witnesses for SCE.  While it is true that the procedures for contested stipulations can be waived under Rule 51.6(c) where good cause is shown, SCE has provided absolutely no discussion of why such a waiver should be granted.</w:t>
      </w:r>
    </w:p>
    <w:p>
      <w:pPr>
        <w:pStyle w:val="Normal"/>
        <w:spacing w:lineRule="auto" w:line="480"/>
        <w:jc w:val="both"/>
        <w:rPr>
          <w:b/>
        </w:rPr>
      </w:pPr>
      <w:r>
        <w:rPr/>
        <w:tab/>
        <w:t>In summary, the SCE Petition is substantially defective from a procedural standpoint.  It violates the provisions of Rules 47(i), 51.1, 51.2, and 51.6(a).  The draft decisions each ignore these obvious procedural infirmities and thereby render the Commission susceptible to further legal challenge on these, and other grounds.  Both the DD and the ADD Petition should therefore be revised to reject the SCE Petition summarily without further consideration of the applicant’s request.</w:t>
      </w:r>
    </w:p>
    <w:p>
      <w:pPr>
        <w:pStyle w:val="BodyText"/>
        <w:widowControl/>
        <w:ind w:firstLine="720" w:end="0"/>
        <w:jc w:val="both"/>
        <w:rPr>
          <w:b/>
        </w:rPr>
      </w:pPr>
      <w:r>
        <w:rPr>
          <w:b/>
        </w:rPr>
      </w:r>
    </w:p>
    <w:p>
      <w:pPr>
        <w:pStyle w:val="BodyTextIndent2"/>
        <w:spacing w:lineRule="auto" w:line="360"/>
        <w:ind w:hanging="0" w:end="0"/>
        <w:jc w:val="center"/>
        <w:rPr>
          <w:b/>
          <w:sz w:val="24"/>
        </w:rPr>
      </w:pPr>
      <w:r>
        <w:rPr>
          <w:b/>
          <w:sz w:val="24"/>
        </w:rPr>
        <w:t>III.  Direct Access Should Not Be Suspended</w:t>
      </w:r>
    </w:p>
    <w:p>
      <w:pPr>
        <w:pStyle w:val="BodyTextIndent2"/>
        <w:spacing w:lineRule="auto" w:line="360"/>
        <w:ind w:hanging="0" w:end="0"/>
        <w:jc w:val="center"/>
        <w:rPr>
          <w:b/>
          <w:sz w:val="24"/>
        </w:rPr>
      </w:pPr>
      <w:r>
        <w:rPr>
          <w:b/>
          <w:sz w:val="24"/>
        </w:rPr>
      </w:r>
    </w:p>
    <w:p>
      <w:pPr>
        <w:pStyle w:val="BodyTextIndent2"/>
        <w:spacing w:lineRule="auto" w:line="480"/>
        <w:jc w:val="both"/>
        <w:rPr>
          <w:bCs/>
          <w:sz w:val="24"/>
        </w:rPr>
      </w:pPr>
      <w:r>
        <w:rPr>
          <w:bCs/>
          <w:sz w:val="24"/>
        </w:rPr>
        <w:t>The DD proposes to suspend the right of customers to receive direct access service as of July 1, 2001.  Customers with contracts signed prior to July 1, 2001 would be excluded.  There are several reasons why this is an inappropriate choice, which are summarized below:</w:t>
      </w:r>
    </w:p>
    <w:p>
      <w:pPr>
        <w:pStyle w:val="BodyTextIndent2"/>
        <w:spacing w:lineRule="auto" w:line="480"/>
        <w:jc w:val="both"/>
        <w:rPr>
          <w:bCs/>
          <w:sz w:val="24"/>
        </w:rPr>
      </w:pPr>
      <w:r>
        <w:rPr>
          <w:bCs/>
          <w:sz w:val="24"/>
        </w:rPr>
      </w:r>
    </w:p>
    <w:p>
      <w:pPr>
        <w:pStyle w:val="BodyTextIndent2"/>
        <w:spacing w:lineRule="auto" w:line="480"/>
        <w:jc w:val="both"/>
        <w:rPr/>
      </w:pPr>
      <w:r>
        <w:rPr>
          <w:b/>
          <w:sz w:val="24"/>
        </w:rPr>
        <w:t xml:space="preserve">A.  </w:t>
      </w:r>
      <w:r>
        <w:rPr>
          <w:b/>
          <w:sz w:val="24"/>
          <w:u w:val="single"/>
        </w:rPr>
        <w:t>The Denial of Customer Choice is Inexcusable</w:t>
      </w:r>
    </w:p>
    <w:p>
      <w:pPr>
        <w:pStyle w:val="BodyTextIndent2"/>
        <w:spacing w:lineRule="auto" w:line="480"/>
        <w:jc w:val="both"/>
        <w:rPr/>
      </w:pPr>
      <w:r>
        <w:rPr>
          <w:bCs/>
          <w:sz w:val="24"/>
        </w:rPr>
        <w:t xml:space="preserve">The </w:t>
      </w:r>
      <w:r>
        <w:rPr>
          <w:sz w:val="24"/>
        </w:rPr>
        <w:t>Commission should reaffirm one of the most important of its original electric restructuring goals described in the Preferred Policy Decision,</w:t>
      </w:r>
      <w:r>
        <w:rPr>
          <w:rStyle w:val="FootnoteCharacters"/>
          <w:rStyle w:val="FootnoteReference"/>
          <w:sz w:val="24"/>
        </w:rPr>
        <w:footnoteReference w:id="8"/>
      </w:r>
      <w:r>
        <w:rPr>
          <w:sz w:val="24"/>
        </w:rPr>
        <w:t xml:space="preserve"> the Second Interim Decision</w:t>
      </w:r>
      <w:r>
        <w:rPr>
          <w:rStyle w:val="FootnoteCharacters"/>
          <w:rStyle w:val="FootnoteReference"/>
          <w:sz w:val="24"/>
        </w:rPr>
        <w:footnoteReference w:id="9"/>
      </w:r>
      <w:r>
        <w:rPr>
          <w:sz w:val="24"/>
        </w:rPr>
        <w:t xml:space="preserve"> and Decision 96-12-088, to provide choice for consumers by bringing competition to the retail electric market.  The Commission re-affirmed this objective in D. 99-06-058: “Our long term strategy is to create an industry structure in which the utilities are one of many competitors.”  p. 23.  The DD abandons this worthy goal and offers California consumers </w:t>
      </w:r>
      <w:r>
        <w:rPr>
          <w:sz w:val="24"/>
          <w:u w:val="single"/>
        </w:rPr>
        <w:t>no choice</w:t>
      </w:r>
      <w:r>
        <w:rPr>
          <w:sz w:val="24"/>
        </w:rPr>
        <w:t xml:space="preserve">.  </w:t>
      </w:r>
    </w:p>
    <w:p>
      <w:pPr>
        <w:pStyle w:val="BodyTextIndent2"/>
        <w:spacing w:lineRule="auto" w:line="480"/>
        <w:jc w:val="both"/>
        <w:rPr>
          <w:sz w:val="24"/>
        </w:rPr>
      </w:pPr>
      <w:r>
        <w:rPr>
          <w:sz w:val="24"/>
        </w:rPr>
        <w:t>Imagine the uproar if the Commission suddenly announced that long-distance telephone users could only take service from their local exchange carrier or from the State itself.  Consider the response if the Commission proposed that businesses could only use state-owned trucking companies for shipping goods and services (and at higher prices).  The response would be highly predictable.  Consumers would be outraged.  Why, then, is it any more acceptable to deny consumers choice when it comes to the purchase of electricity?  Certainly the retail electric market is newer and has not yet achieved the penetration rates of alternative long distance carriers.  The answer, quite simply, is that it is not.  The DD denies consumers the fundamental right of choice and we will all be the worse off should it be approved.</w:t>
      </w:r>
    </w:p>
    <w:p>
      <w:pPr>
        <w:pStyle w:val="BodyText"/>
        <w:widowControl/>
        <w:ind w:firstLine="720" w:end="0"/>
        <w:jc w:val="both"/>
        <w:rPr/>
      </w:pPr>
      <w:r>
        <w:rPr/>
        <w:t>In summary, AReM reminds the Commission that a press release issued by J.D. Power and Associates on February 22, 2001, notes that 64% of Californians, “believe that the state of California should continue to support competition in the electric utility industry.”  This Commission should be mindful of the significant desire of consumers for customer choice and enhanced competitive opportunities in the California electric industry.</w:t>
      </w:r>
    </w:p>
    <w:p>
      <w:pPr>
        <w:pStyle w:val="BodyTextIndent2"/>
        <w:spacing w:lineRule="auto" w:line="480"/>
        <w:jc w:val="both"/>
        <w:rPr>
          <w:sz w:val="24"/>
        </w:rPr>
      </w:pPr>
      <w:r>
        <w:rPr>
          <w:sz w:val="24"/>
        </w:rPr>
      </w:r>
    </w:p>
    <w:p>
      <w:pPr>
        <w:pStyle w:val="BodyTextIndent2"/>
        <w:spacing w:lineRule="auto" w:line="480"/>
        <w:jc w:val="both"/>
        <w:rPr/>
      </w:pPr>
      <w:r>
        <w:rPr>
          <w:b/>
          <w:bCs/>
          <w:sz w:val="24"/>
        </w:rPr>
        <w:t xml:space="preserve">B.  </w:t>
      </w:r>
      <w:r>
        <w:rPr>
          <w:b/>
          <w:bCs/>
          <w:sz w:val="24"/>
          <w:u w:val="single"/>
        </w:rPr>
        <w:t>The DD Takes a Bad Policy Decision and Makes It Worse.</w:t>
      </w:r>
    </w:p>
    <w:p>
      <w:pPr>
        <w:pStyle w:val="BodyTextIndent2"/>
        <w:spacing w:lineRule="auto" w:line="480"/>
        <w:jc w:val="both"/>
        <w:rPr>
          <w:sz w:val="24"/>
        </w:rPr>
      </w:pPr>
      <w:r>
        <w:rPr>
          <w:sz w:val="24"/>
        </w:rPr>
        <w:t>Moreover, it is evident that this decision is being driven by the highly questionable policy decision of the State of California to enter into long-term power purchase contracts at the peak of the market.  The prices revealed in the recent disclosure of details surrounding those contracts make it clear that the State will be overpaying for power for years to come, particularly as more generation comes on line and power prices return to normalcy.  As a result of that decision, the DWR, the Department of Finance and State Treasurer Philip Angelides issued the June 12, 2001 memorandum attached as Appendix B to the ADD of Commissioner Bilas.  That memorandum and the deadline it suggests for Commission action is clearly driving the DD.  We therefore have a situation where a bad policy decision is having further unanticipated consequences.  In this case, it is leading to the revocation and elimination of consumer choice.  That revocation will in turn have its own unintended consequences that are also likely to be negative.</w:t>
      </w:r>
    </w:p>
    <w:p>
      <w:pPr>
        <w:pStyle w:val="BodyTextIndent2"/>
        <w:spacing w:lineRule="auto" w:line="480"/>
        <w:jc w:val="both"/>
        <w:rPr>
          <w:sz w:val="24"/>
        </w:rPr>
      </w:pPr>
      <w:r>
        <w:rPr>
          <w:sz w:val="24"/>
        </w:rPr>
        <w:t xml:space="preserve"> </w:t>
      </w:r>
    </w:p>
    <w:p>
      <w:pPr>
        <w:pStyle w:val="BodyTextIndent2"/>
        <w:numPr>
          <w:ilvl w:val="0"/>
          <w:numId w:val="3"/>
        </w:numPr>
        <w:tabs>
          <w:tab w:val="clear" w:pos="720"/>
        </w:tabs>
        <w:ind w:hanging="360" w:start="1080" w:end="0"/>
        <w:jc w:val="both"/>
        <w:rPr>
          <w:b/>
          <w:bCs/>
          <w:sz w:val="24"/>
          <w:u w:val="single"/>
        </w:rPr>
      </w:pPr>
      <w:r>
        <w:rPr>
          <w:b/>
          <w:bCs/>
          <w:sz w:val="24"/>
          <w:u w:val="single"/>
        </w:rPr>
        <w:t>The Legislature Should Be Permitted to Act on ABX1 Clean-Up Legislation Before the Commission Acts to Suspend Direct Access.</w:t>
      </w:r>
    </w:p>
    <w:p>
      <w:pPr>
        <w:pStyle w:val="BodyTextIndent2"/>
        <w:ind w:hanging="0" w:start="720" w:end="0"/>
        <w:jc w:val="both"/>
        <w:rPr>
          <w:b/>
          <w:bCs/>
          <w:sz w:val="24"/>
          <w:u w:val="single"/>
        </w:rPr>
      </w:pPr>
      <w:r>
        <w:rPr>
          <w:b/>
          <w:bCs/>
          <w:sz w:val="24"/>
          <w:u w:val="single"/>
        </w:rPr>
      </w:r>
    </w:p>
    <w:p>
      <w:pPr>
        <w:pStyle w:val="standard"/>
        <w:spacing w:lineRule="auto" w:line="480"/>
        <w:jc w:val="both"/>
        <w:rPr>
          <w:rFonts w:ascii="Times New Roman" w:hAnsi="Times New Roman" w:cs="Times New Roman"/>
          <w:sz w:val="24"/>
        </w:rPr>
      </w:pPr>
      <w:r>
        <w:rPr>
          <w:rFonts w:cs="Times New Roman" w:ascii="Times New Roman" w:hAnsi="Times New Roman"/>
          <w:sz w:val="24"/>
        </w:rPr>
        <w:t>Since the passage of ABX1 1, AReM and other market participants have been engaged in active discussions with members of the Legislature concerning the provision in Section 80110, which directs the Commission to suspend the right of direct access after the passage of a period of time to be determined by the Commission.  The purpose of these discussions is to draft clarifying legislation that provides that it is the intent of the Legislature to establish a policy to govern the circumstances under which retail end use customers may continue to choose to acquire service from energy providers other than the utilities or the Department of Water Resources.  The goal of that policy is to provide retail end use customers the greatest possible flexibility in procuring power while preventing any negative consequences for those customers who continue to be served by the Department of Water Resources.  The Angelides memorandum in fact acknowledges that, “the Legislature is examining alternatives to the above provision [referring to Section 80110 of the Water Code] in the form of various legislative proposals on the subject of retail access.”</w:t>
      </w:r>
    </w:p>
    <w:p>
      <w:pPr>
        <w:pStyle w:val="standard"/>
        <w:spacing w:lineRule="auto" w:line="480"/>
        <w:jc w:val="both"/>
        <w:rPr>
          <w:rFonts w:ascii="Times New Roman" w:hAnsi="Times New Roman" w:cs="Times New Roman"/>
          <w:sz w:val="24"/>
        </w:rPr>
      </w:pPr>
      <w:r>
        <w:rPr>
          <w:rFonts w:cs="Times New Roman" w:ascii="Times New Roman" w:hAnsi="Times New Roman"/>
          <w:sz w:val="24"/>
        </w:rPr>
        <w:t>Given the pendency of these discussions, there is a distinct possibility that the cited language from Section 80110 will be modified.  Furthermore, it is patently clear that the Legislature has not completed its efforts to cope with the state’s electricity crisis and that efforts are ongoing to find solutions which are efficient, fair and equitable for all parties.  The Commission therefore needs to chart a careful and deliberative course and not “rush to judgment” in an effort to implement Section 80110.</w:t>
      </w:r>
    </w:p>
    <w:p>
      <w:pPr>
        <w:pStyle w:val="standard"/>
        <w:spacing w:lineRule="auto" w:line="480"/>
        <w:jc w:val="both"/>
        <w:rPr>
          <w:rFonts w:ascii="Times New Roman" w:hAnsi="Times New Roman" w:cs="Times New Roman"/>
          <w:sz w:val="24"/>
        </w:rPr>
      </w:pPr>
      <w:r>
        <w:rPr>
          <w:rFonts w:cs="Times New Roman" w:ascii="Times New Roman" w:hAnsi="Times New Roman"/>
          <w:sz w:val="24"/>
        </w:rPr>
      </w:r>
    </w:p>
    <w:p>
      <w:pPr>
        <w:pStyle w:val="BodyTextIndent2"/>
        <w:spacing w:lineRule="auto" w:line="480"/>
        <w:jc w:val="both"/>
        <w:rPr/>
      </w:pPr>
      <w:r>
        <w:rPr>
          <w:b/>
          <w:bCs/>
          <w:sz w:val="24"/>
        </w:rPr>
        <w:t xml:space="preserve">D.  </w:t>
      </w:r>
      <w:r>
        <w:rPr>
          <w:b/>
          <w:bCs/>
          <w:sz w:val="24"/>
          <w:u w:val="single"/>
        </w:rPr>
        <w:t>The Suspension of Direct Access Exacerbates the PX Credit Issue</w:t>
      </w:r>
    </w:p>
    <w:p>
      <w:pPr>
        <w:pStyle w:val="BodyTextIndent2"/>
        <w:spacing w:lineRule="auto" w:line="480"/>
        <w:jc w:val="both"/>
        <w:rPr/>
      </w:pPr>
      <w:r>
        <w:rPr>
          <w:sz w:val="24"/>
        </w:rPr>
        <w:t xml:space="preserve">Both the DD and the ADD presume that upon SCE’s return to financial well being, the accrued credits will be a method to provide recovery of the sums due and owing to either direct access customers or the ESPs who serve them.  This would presumably have to occur through future direct access transactions.  However, </w:t>
      </w:r>
      <w:r>
        <w:rPr>
          <w:sz w:val="24"/>
          <w:u w:val="single"/>
        </w:rPr>
        <w:t>because the DD itself does away with direct access, any repayment of the credits owed to ESPs cannot occur</w:t>
      </w:r>
      <w:r>
        <w:rPr>
          <w:sz w:val="24"/>
        </w:rPr>
        <w:t>.  In other words, ESPs would still have to be serving their customers, which they will not be permitted to do.</w:t>
      </w:r>
    </w:p>
    <w:p>
      <w:pPr>
        <w:pStyle w:val="BodyTextIndent2"/>
        <w:spacing w:lineRule="auto" w:line="480"/>
        <w:jc w:val="both"/>
        <w:rPr>
          <w:bCs/>
          <w:sz w:val="24"/>
        </w:rPr>
      </w:pPr>
      <w:r>
        <w:rPr>
          <w:bCs/>
          <w:sz w:val="24"/>
        </w:rPr>
        <w:t>The DD provides that customers who have signed direct access contracts prior to July 1 will not be affected.  However, does this apply to customers who were once served by direct access and were subsequently returned to bundled service when the utilities defaulted on their obligations under the Stipulation?  Both decisions fail to deal with this issue, but at least the ADD does not exacerbate the problem by proposing to suspend direct access.  By failing to recognize and deal with this issue, the DD is deficient.  Moreover, this deficiency is one of the reasons why AReM recommends herein in Section VI of these comments, that the Commission should bifurcate the direct access suspension and the PX credit issues.</w:t>
      </w:r>
    </w:p>
    <w:p>
      <w:pPr>
        <w:pStyle w:val="BodyTextIndent2"/>
        <w:spacing w:lineRule="auto" w:line="360"/>
        <w:ind w:hanging="0" w:end="0"/>
        <w:jc w:val="center"/>
        <w:rPr>
          <w:b/>
          <w:bCs/>
          <w:sz w:val="24"/>
        </w:rPr>
      </w:pPr>
      <w:r>
        <w:rPr>
          <w:b/>
          <w:bCs/>
          <w:sz w:val="24"/>
        </w:rPr>
      </w:r>
    </w:p>
    <w:p>
      <w:pPr>
        <w:pStyle w:val="BodyTextIndent2"/>
        <w:spacing w:lineRule="auto" w:line="480"/>
        <w:ind w:hanging="0" w:end="0"/>
        <w:jc w:val="center"/>
        <w:rPr>
          <w:b/>
          <w:sz w:val="24"/>
        </w:rPr>
      </w:pPr>
      <w:r>
        <w:rPr>
          <w:b/>
          <w:sz w:val="24"/>
        </w:rPr>
        <w:t>IV.  AReM Supports a Move Towards a Bottoms-Up Rate Methodology</w:t>
      </w:r>
    </w:p>
    <w:p>
      <w:pPr>
        <w:pStyle w:val="BodyTextIndent2"/>
        <w:spacing w:lineRule="auto" w:line="480"/>
        <w:jc w:val="both"/>
        <w:rPr>
          <w:bCs/>
          <w:sz w:val="24"/>
        </w:rPr>
      </w:pPr>
      <w:r>
        <w:rPr>
          <w:bCs/>
          <w:sz w:val="24"/>
        </w:rPr>
        <w:t>The ADD solicits comments from parties with regard to the issue of whether a bottoms-up rate methodology should be adopted for direct access customers.  AReM strongly supports this concept and has been a repeated proponent of this approach.  In AReM’s brief filed in the recent rate stabilization proceeding, A.00-11-038, et. al., AReM stated as follows:</w:t>
      </w:r>
    </w:p>
    <w:p>
      <w:pPr>
        <w:pStyle w:val="PlainText"/>
        <w:widowControl/>
        <w:spacing w:lineRule="auto" w:line="240"/>
        <w:ind w:hanging="0" w:start="1440" w:end="1440"/>
        <w:rPr/>
      </w:pPr>
      <w:r>
        <w:rPr/>
        <w:t xml:space="preserve">AReM has proposed that the surcharge should not be applicable to DA customers.  SCE has indicated that such an approach would be acceptable so long as the utilities are not incurring any procurement costs for serving DA customers.  In response, AReM recommends that the appropriate methodology for accomplishing this result would be for the Commission to adopt a “bottoms-up” approach whereby direct access customers would pay only the non-generation cost elements of the utilities’ frozen rate structure.  DA customers would therefore pay all applicable transmission, distribution, public purpose program costs, nuclear decommissioning and Competition Transition Costs.  </w:t>
      </w:r>
    </w:p>
    <w:p>
      <w:pPr>
        <w:pStyle w:val="PlainText"/>
        <w:widowControl/>
        <w:spacing w:lineRule="auto" w:line="240"/>
        <w:ind w:hanging="0" w:start="1440" w:end="1440"/>
        <w:rPr/>
      </w:pPr>
      <w:r>
        <w:rPr/>
      </w:r>
    </w:p>
    <w:p>
      <w:pPr>
        <w:pStyle w:val="PlainText"/>
        <w:widowControl/>
        <w:spacing w:lineRule="auto" w:line="240"/>
        <w:ind w:hanging="0" w:start="1440" w:end="1440"/>
        <w:rPr/>
      </w:pPr>
      <w:r>
        <w:rPr/>
        <w:t>However, DA customers would be assessed no generation charges or surcharges, for the reasons expressed in detail in the previous sections of this brief.  AReM believes that a bottoms-up approach is consistent with, and can be accomplished during the current rate freeze.  Most importantly, it will avoid any possibility that DA customers will contribute to the utilities’ undercollections, as the utilities have contended with regard to the current “top-down” approach.  AReM therefore recommends that the decision issued in this proceeding should direct the utilities to file advice letters which implement a bottoms-up approach effective as soon as possible.</w:t>
      </w:r>
    </w:p>
    <w:p>
      <w:pPr>
        <w:pStyle w:val="PlainText"/>
        <w:widowControl/>
        <w:spacing w:lineRule="auto" w:line="240"/>
        <w:ind w:hanging="0" w:start="1440" w:end="1440"/>
        <w:rPr>
          <w:b/>
          <w:spacing w:val="-3"/>
        </w:rPr>
      </w:pPr>
      <w:r>
        <w:rPr>
          <w:b/>
          <w:spacing w:val="-3"/>
        </w:rPr>
      </w:r>
    </w:p>
    <w:p>
      <w:pPr>
        <w:pStyle w:val="BodyTextIndent2"/>
        <w:spacing w:lineRule="auto" w:line="480"/>
        <w:jc w:val="both"/>
        <w:rPr>
          <w:bCs/>
          <w:sz w:val="24"/>
        </w:rPr>
      </w:pPr>
      <w:r>
        <w:rPr>
          <w:bCs/>
          <w:sz w:val="24"/>
        </w:rPr>
        <w:t xml:space="preserve">For the aforementioned reasons, AReM therefore supports the adoption of a bottoms-up rate methodology and urges the Commission to do so as soon as possible.  The methodology is fair to both direct access and bundled customers, to utilities and to ESPs.  </w:t>
      </w:r>
    </w:p>
    <w:p>
      <w:pPr>
        <w:pStyle w:val="BodyTextIndent2"/>
        <w:spacing w:lineRule="auto" w:line="360"/>
        <w:jc w:val="both"/>
        <w:rPr>
          <w:bCs/>
          <w:sz w:val="24"/>
        </w:rPr>
      </w:pPr>
      <w:r>
        <w:rPr>
          <w:bCs/>
          <w:sz w:val="24"/>
        </w:rPr>
      </w:r>
    </w:p>
    <w:p>
      <w:pPr>
        <w:pStyle w:val="BodyTextIndent2"/>
        <w:spacing w:lineRule="auto" w:line="480"/>
        <w:ind w:hanging="0" w:end="0"/>
        <w:jc w:val="center"/>
        <w:rPr>
          <w:b/>
          <w:sz w:val="24"/>
        </w:rPr>
      </w:pPr>
      <w:r>
        <w:rPr>
          <w:b/>
          <w:sz w:val="24"/>
        </w:rPr>
        <w:t>V.  There Are Alternatives to Suspending Direct Access.</w:t>
      </w:r>
    </w:p>
    <w:p>
      <w:pPr>
        <w:pStyle w:val="standard"/>
        <w:spacing w:lineRule="auto" w:line="480"/>
        <w:jc w:val="both"/>
        <w:rPr>
          <w:rFonts w:ascii="Times New Roman" w:hAnsi="Times New Roman" w:cs="Times New Roman"/>
          <w:sz w:val="24"/>
        </w:rPr>
      </w:pPr>
      <w:r>
        <w:rPr>
          <w:rFonts w:cs="Times New Roman" w:ascii="Times New Roman" w:hAnsi="Times New Roman"/>
          <w:sz w:val="24"/>
        </w:rPr>
        <w:t xml:space="preserve">The ADD of Commissioner Bilas refers to the Angelides memo, noting that it, “opines that there are only two options for resolving the concerns – either the Commission must suspend direct access or the Legislature must act quickly to revise AB 1X to permit direct access to continue with conditions resolving their concerns.  In the comments on this draft alternate decision, parties should address: 1) whether there is any way the Commission may act to accommodate those concerns besides suspension without violating Water Code Section 80110; 2) whether less onerous conditions can resolve the concerns and, if so, why and how; and 3) the impact of the conditions proposed in the memo on direct access and resolution of market dysfunction.” </w:t>
      </w:r>
      <w:r>
        <w:rPr>
          <w:rStyle w:val="FootnoteCharacters"/>
          <w:rStyle w:val="FootnoteReference"/>
          <w:rFonts w:cs="Times New Roman" w:ascii="Times New Roman" w:hAnsi="Times New Roman"/>
        </w:rPr>
        <w:footnoteReference w:id="10"/>
      </w:r>
    </w:p>
    <w:p>
      <w:pPr>
        <w:pStyle w:val="BodyTextIndent2"/>
        <w:spacing w:lineRule="auto" w:line="480"/>
        <w:jc w:val="both"/>
        <w:rPr>
          <w:bCs/>
          <w:sz w:val="24"/>
        </w:rPr>
      </w:pPr>
      <w:r>
        <w:rPr>
          <w:bCs/>
          <w:sz w:val="24"/>
        </w:rPr>
        <w:t>AReM suggests that there are clearly ways to accommodate the concerns expressed in the Angelides memo that fall short of the dramatic step of suspending direct access completely.  First the Commission could issue a decision announcing its intention to address on an expedited basis the credit concerns affecting issuance of the DWR Power Purchase Revenue Bonds.  The Commission would commit to assure that:</w:t>
      </w:r>
    </w:p>
    <w:p>
      <w:pPr>
        <w:pStyle w:val="BodyTextIndent2"/>
        <w:numPr>
          <w:ilvl w:val="0"/>
          <w:numId w:val="2"/>
        </w:numPr>
        <w:spacing w:lineRule="auto" w:line="480"/>
        <w:jc w:val="both"/>
        <w:rPr>
          <w:bCs/>
          <w:sz w:val="24"/>
        </w:rPr>
      </w:pPr>
      <w:r>
        <w:rPr>
          <w:bCs/>
          <w:sz w:val="24"/>
        </w:rPr>
        <w:t>Customers who left the system to opt for direct access would be required to pay some form of “exit fee” which would represent an equitable share of the costs incurred by DWR on behalf of ratepayers;</w:t>
      </w:r>
    </w:p>
    <w:p>
      <w:pPr>
        <w:pStyle w:val="BodyTextIndent2"/>
        <w:numPr>
          <w:ilvl w:val="0"/>
          <w:numId w:val="2"/>
        </w:numPr>
        <w:spacing w:lineRule="auto" w:line="480"/>
        <w:jc w:val="both"/>
        <w:rPr>
          <w:bCs/>
          <w:sz w:val="24"/>
        </w:rPr>
      </w:pPr>
      <w:r>
        <w:rPr>
          <w:bCs/>
          <w:sz w:val="24"/>
        </w:rPr>
        <w:t>In order to prevent the situation where the DWR was purchasing more power than was required by remaining bundled service customers, a limit would be established with regard to the volume of load which would be permitted to migrate to direct access, on a “first come-first served” basis; and</w:t>
      </w:r>
    </w:p>
    <w:p>
      <w:pPr>
        <w:pStyle w:val="BodyTextIndent2"/>
        <w:numPr>
          <w:ilvl w:val="0"/>
          <w:numId w:val="2"/>
        </w:numPr>
        <w:spacing w:lineRule="auto" w:line="480"/>
        <w:jc w:val="both"/>
        <w:rPr>
          <w:bCs/>
          <w:sz w:val="24"/>
        </w:rPr>
      </w:pPr>
      <w:r>
        <w:rPr>
          <w:bCs/>
          <w:sz w:val="24"/>
        </w:rPr>
        <w:t>As proposed by the Angelides memo, an annual “window” or “enrollment period” would be provided whereby customers could opt for direct access, subject to an annual evaluation as to the amount of load that would be permitted to leave bundled service.</w:t>
      </w:r>
    </w:p>
    <w:p>
      <w:pPr>
        <w:pStyle w:val="BodyTextIndent2"/>
        <w:spacing w:lineRule="auto" w:line="480"/>
        <w:jc w:val="both"/>
        <w:rPr/>
      </w:pPr>
      <w:r>
        <w:rPr>
          <w:bCs/>
          <w:sz w:val="24"/>
        </w:rPr>
        <w:t xml:space="preserve">The foregoing addresses all of the major concerns raised by the Angelides memo and would still permit the facilitation of customer choice.  AReM therefore recommends that the Commission immediately institute a rulemaking on this subject and indicate the Commission’s intention to adopt such a proposal as soon as possible.  The foregoing would certainly be a </w:t>
      </w:r>
      <w:r>
        <w:rPr>
          <w:sz w:val="24"/>
        </w:rPr>
        <w:t xml:space="preserve">less onerous condition than the total denial of customer choice.  Moreover, it would resolve the concerns of DWR.  </w:t>
      </w:r>
    </w:p>
    <w:p>
      <w:pPr>
        <w:pStyle w:val="BodyTextIndent2"/>
        <w:spacing w:lineRule="auto" w:line="480"/>
        <w:jc w:val="both"/>
        <w:rPr>
          <w:bCs/>
          <w:sz w:val="24"/>
        </w:rPr>
      </w:pPr>
      <w:r>
        <w:rPr>
          <w:sz w:val="24"/>
        </w:rPr>
        <w:t>Most importantly, AReM believes that the continuation of direct access will serve as a beneficial way to assist in resolving the issues caused by market dysfunction.  The reduction of competition in the market is not likely to have a beneficial impact on prices.  Rather, the presence of many buyers and many sellers is more likely to facilitate the functioning of a competitive market, which should be desired by all parties.  The credit concerns in the Angelides memo can be addressed in a manner that will facilitate competition, restrain unchecked growth in prices and facilitate customer choice.  The Commission should take the extra step to do so as quickly as possible, rather than simply taking the expedient, but ultimately harmful, step of suspending direct access in its entirety.</w:t>
      </w:r>
    </w:p>
    <w:p>
      <w:pPr>
        <w:pStyle w:val="BodyTextIndent2"/>
        <w:spacing w:lineRule="auto" w:line="360"/>
        <w:jc w:val="both"/>
        <w:rPr>
          <w:bCs/>
          <w:sz w:val="24"/>
        </w:rPr>
      </w:pPr>
      <w:r>
        <w:rPr>
          <w:bCs/>
          <w:sz w:val="24"/>
        </w:rPr>
      </w:r>
    </w:p>
    <w:p>
      <w:pPr>
        <w:pStyle w:val="BodyTextIndent2"/>
        <w:spacing w:lineRule="auto" w:line="360"/>
        <w:ind w:hanging="0" w:end="0"/>
        <w:jc w:val="center"/>
        <w:rPr>
          <w:b/>
          <w:sz w:val="24"/>
        </w:rPr>
      </w:pPr>
      <w:r>
        <w:rPr>
          <w:b/>
          <w:sz w:val="24"/>
        </w:rPr>
        <w:t>VI.  The PX Credit Issue Should Be Bifurcated From the Direct Access Issue</w:t>
      </w:r>
    </w:p>
    <w:p>
      <w:pPr>
        <w:pStyle w:val="BodyTextIndent2"/>
        <w:spacing w:lineRule="auto" w:line="480"/>
        <w:jc w:val="both"/>
        <w:rPr/>
      </w:pPr>
      <w:r>
        <w:rPr>
          <w:bCs/>
          <w:sz w:val="24"/>
        </w:rPr>
        <w:t xml:space="preserve">AReM recognizes that the Commission feels compelled to act on the issue of direct access suspension due to the Angelides memorandum and its recommendation that the Commission must act by the end of June in order not to frustrate the issuance of the DWR Power Purchase Revenue Bonds.  However, </w:t>
      </w:r>
      <w:r>
        <w:rPr>
          <w:bCs/>
          <w:sz w:val="24"/>
          <w:u w:val="single"/>
        </w:rPr>
        <w:t>there is not the same urgency to act with regard to the PX credit issue</w:t>
      </w:r>
      <w:r>
        <w:rPr>
          <w:bCs/>
          <w:sz w:val="24"/>
        </w:rPr>
        <w:t>.  AReM therefore recommends that the Commission should bifurcate the two issues.  This can be done by simply removing all discussion pertaining to the PX credit issue from the DD and the ADD, and having the Commission vote solely on the issue of direct access suspension at its June 28 meeting.</w:t>
      </w:r>
    </w:p>
    <w:p>
      <w:pPr>
        <w:pStyle w:val="BodyTextIndent2"/>
        <w:spacing w:lineRule="auto" w:line="480"/>
        <w:jc w:val="both"/>
        <w:rPr>
          <w:bCs/>
          <w:sz w:val="24"/>
        </w:rPr>
      </w:pPr>
      <w:r>
        <w:rPr>
          <w:bCs/>
          <w:sz w:val="24"/>
        </w:rPr>
        <w:t>AReM identifies herein numerous problems with both draft decisions with regard to the PX credit issue.  These problems are not susceptible to facile and quick resolution.  Moreover, the same procedural justification for taking expedited action on the direct access suspension issue is clearly not applicable to the PX Credit issue.  The DD states that a reduction in the normal comment period is justified because:</w:t>
      </w:r>
    </w:p>
    <w:p>
      <w:pPr>
        <w:pStyle w:val="BodyTextIndent2"/>
        <w:ind w:hanging="0" w:start="1440" w:end="1440"/>
        <w:jc w:val="both"/>
        <w:rPr/>
      </w:pPr>
      <w:r>
        <w:rPr>
          <w:sz w:val="24"/>
        </w:rPr>
        <w:t xml:space="preserve">Suspending the right to contract for direct access protects DWR and the electric utilities in their endeavor to secure long-term contracts to acquire electric energy, with a reasonable opportunity to recover their costs of power.  We have determined on our own motion that public necessity require reduction of the usual 30-day period for public review and comment to 10 days.  (Rule 77.7(f)(9).)  Reply comments are waived.  The Water Code sections regarding the purchase of electric energy by the Department of Water Resources has an urgency statute which provided for the suspension of direct access.  The legislature found that immediate implementation of the statute was needed to protect the “health, welfare, and safety of the people of this state ….”  Our urgency is no less. </w:t>
      </w:r>
      <w:r>
        <w:rPr>
          <w:rStyle w:val="FootnoteCharacters"/>
          <w:rStyle w:val="FootnoteReference"/>
        </w:rPr>
        <w:footnoteReference w:id="11"/>
      </w:r>
      <w:r>
        <w:rPr>
          <w:sz w:val="24"/>
        </w:rPr>
        <w:t xml:space="preserve">  </w:t>
      </w:r>
    </w:p>
    <w:p>
      <w:pPr>
        <w:pStyle w:val="BodyTextIndent2"/>
        <w:spacing w:lineRule="auto" w:line="480"/>
        <w:jc w:val="both"/>
        <w:rPr>
          <w:sz w:val="24"/>
        </w:rPr>
      </w:pPr>
      <w:r>
        <w:rPr>
          <w:sz w:val="24"/>
        </w:rPr>
      </w:r>
    </w:p>
    <w:p>
      <w:pPr>
        <w:pStyle w:val="BodyTextIndent2"/>
        <w:spacing w:lineRule="auto" w:line="480"/>
        <w:jc w:val="both"/>
        <w:rPr/>
      </w:pPr>
      <w:r>
        <w:rPr>
          <w:sz w:val="24"/>
        </w:rPr>
        <w:t xml:space="preserve">From this excerpt, it is clear that the urgency driving the DD is premised </w:t>
      </w:r>
      <w:r>
        <w:rPr>
          <w:sz w:val="24"/>
          <w:u w:val="single"/>
        </w:rPr>
        <w:t>solely</w:t>
      </w:r>
      <w:r>
        <w:rPr>
          <w:sz w:val="24"/>
        </w:rPr>
        <w:t xml:space="preserve"> on the direct access suspension issue.  The PX credit issue is neither mentioned nor alluded to.  This is, of course, understandable for the simple reason that there is no urgency driving the PX credit issue.  This is apparent for the following reasons:</w:t>
      </w:r>
    </w:p>
    <w:p>
      <w:pPr>
        <w:pStyle w:val="BodyTextIndent2"/>
        <w:numPr>
          <w:ilvl w:val="0"/>
          <w:numId w:val="2"/>
        </w:numPr>
        <w:spacing w:lineRule="auto" w:line="480"/>
        <w:jc w:val="both"/>
        <w:rPr>
          <w:sz w:val="24"/>
        </w:rPr>
      </w:pPr>
      <w:r>
        <w:rPr>
          <w:sz w:val="24"/>
        </w:rPr>
        <w:t>First and foremost, the utilities stopped paying the PX credit many months ago.</w:t>
      </w:r>
    </w:p>
    <w:p>
      <w:pPr>
        <w:pStyle w:val="BodyTextIndent2"/>
        <w:numPr>
          <w:ilvl w:val="0"/>
          <w:numId w:val="2"/>
        </w:numPr>
        <w:spacing w:lineRule="auto" w:line="480"/>
        <w:jc w:val="both"/>
        <w:rPr>
          <w:sz w:val="24"/>
        </w:rPr>
      </w:pPr>
      <w:r>
        <w:rPr>
          <w:sz w:val="24"/>
        </w:rPr>
        <w:t>As they are no longer paying the credit, they are not suffering any continuing financial loss.</w:t>
      </w:r>
    </w:p>
    <w:p>
      <w:pPr>
        <w:pStyle w:val="BodyTextIndent2"/>
        <w:numPr>
          <w:ilvl w:val="0"/>
          <w:numId w:val="2"/>
        </w:numPr>
        <w:spacing w:lineRule="auto" w:line="480"/>
        <w:jc w:val="both"/>
        <w:rPr>
          <w:sz w:val="24"/>
        </w:rPr>
      </w:pPr>
      <w:r>
        <w:rPr>
          <w:sz w:val="24"/>
        </w:rPr>
        <w:t>Moreover, the utilities’ cessation of payments caused the ESPs to return the overwhelming majority of direct access customers to bundled service months ago.</w:t>
      </w:r>
    </w:p>
    <w:p>
      <w:pPr>
        <w:pStyle w:val="BodyTextIndent2"/>
        <w:spacing w:lineRule="auto" w:line="480"/>
        <w:ind w:hanging="0" w:end="0"/>
        <w:jc w:val="both"/>
        <w:rPr>
          <w:sz w:val="24"/>
        </w:rPr>
      </w:pPr>
      <w:r>
        <w:rPr>
          <w:sz w:val="24"/>
        </w:rPr>
        <w:t>It is evident, therefore, that there is no urgency driving the Commission to render a decision on June 28 with regard to the PX credit issue.  This conclusion is reinforced by an examination of the section of the Commission’s Rules of Practice and Procedure cited by ALJ Barnett.  Rule 77.7(f)(9) provides as follows:</w:t>
      </w:r>
    </w:p>
    <w:p>
      <w:pPr>
        <w:pStyle w:val="BodyTextIndent2"/>
        <w:ind w:hanging="0" w:start="1440" w:end="1440"/>
        <w:jc w:val="both"/>
        <w:rPr/>
      </w:pPr>
      <w:r>
        <w:rPr>
          <w:b/>
          <w:sz w:val="24"/>
        </w:rPr>
        <w:t>(f) Reduction or Waiver by Commission</w:t>
      </w:r>
      <w:r>
        <w:rPr>
          <w:bCs/>
          <w:sz w:val="24"/>
        </w:rPr>
        <w:t>.  In an unforeseen emergency situation (see Rule 81), or in accordance with a stipulation pursuant to subsection (g) of this rule, the Commission may reduce or waive the period for public review and comment under this rule regarding draft decisions and alternates. In the following circumstances, the Commission may reduce or waive the period for public review and comment under this rule regarding draft decisions and may reduce but not waive the public review and comment period regarding alternates:</w:t>
      </w:r>
    </w:p>
    <w:p>
      <w:pPr>
        <w:pStyle w:val="BodyTextIndent2"/>
        <w:ind w:hanging="0" w:start="1440" w:end="1440"/>
        <w:jc w:val="both"/>
        <w:rPr>
          <w:bCs/>
          <w:sz w:val="24"/>
        </w:rPr>
      </w:pPr>
      <w:r>
        <w:rPr>
          <w:bCs/>
          <w:sz w:val="24"/>
        </w:rPr>
      </w:r>
    </w:p>
    <w:p>
      <w:pPr>
        <w:pStyle w:val="BodyTextIndent2"/>
        <w:ind w:hanging="0" w:start="1440" w:end="1440"/>
        <w:jc w:val="center"/>
        <w:rPr>
          <w:b/>
          <w:sz w:val="24"/>
        </w:rPr>
      </w:pPr>
      <w:r>
        <w:rPr>
          <w:b/>
          <w:sz w:val="24"/>
        </w:rPr>
        <w:t>.  .  .</w:t>
      </w:r>
    </w:p>
    <w:p>
      <w:pPr>
        <w:pStyle w:val="BodyTextIndent2"/>
        <w:ind w:hanging="0" w:start="1440" w:end="1440"/>
        <w:jc w:val="center"/>
        <w:rPr>
          <w:b/>
          <w:bCs/>
          <w:sz w:val="24"/>
        </w:rPr>
      </w:pPr>
      <w:r>
        <w:rPr>
          <w:b/>
          <w:bCs/>
          <w:sz w:val="24"/>
        </w:rPr>
      </w:r>
    </w:p>
    <w:p>
      <w:pPr>
        <w:pStyle w:val="BodyTextIndent2"/>
        <w:ind w:hanging="0" w:start="1440" w:end="1440"/>
        <w:jc w:val="both"/>
        <w:rPr>
          <w:bCs/>
          <w:sz w:val="24"/>
        </w:rPr>
      </w:pPr>
      <w:r>
        <w:rPr>
          <w:bCs/>
          <w:sz w:val="24"/>
        </w:rPr>
        <w:t>(9) for a decision where the Commission determines, on the motion of a party or on its own motion, that public necessity requires reduction or waiver of the 30-day period for public review and comment. For purposes of this subsection, "public necessity" refers to circumstances in which the public interest in the Commission adopting a decision before expiration of the 30-day review and comment period clearly outweighs the public interest in having the full 30-day period for review and comment. "Public necessity" includes, without limitation, circumstances where failure to adopt a decision before expiration of the 30-day review and comment period would place the Commission or a Commission regulatee in violation of applicable law, or where such failure would cause significant harm to public health or welfare. When acting pursuant to this subsection, the Commission will provide such reduced period for public review and comment as is consistent with the public necessity requiring reduction or waiver.</w:t>
      </w:r>
    </w:p>
    <w:p>
      <w:pPr>
        <w:pStyle w:val="BodyTextIndent2"/>
        <w:spacing w:lineRule="auto" w:line="360"/>
        <w:ind w:hanging="0" w:end="0"/>
        <w:jc w:val="both"/>
        <w:rPr>
          <w:bCs/>
          <w:sz w:val="24"/>
        </w:rPr>
      </w:pPr>
      <w:r>
        <w:rPr>
          <w:bCs/>
          <w:sz w:val="24"/>
        </w:rPr>
      </w:r>
    </w:p>
    <w:p>
      <w:pPr>
        <w:pStyle w:val="BodyTextIndent2"/>
        <w:spacing w:lineRule="auto" w:line="480"/>
        <w:jc w:val="both"/>
        <w:rPr>
          <w:bCs/>
          <w:sz w:val="24"/>
        </w:rPr>
      </w:pPr>
      <w:r>
        <w:rPr>
          <w:bCs/>
          <w:sz w:val="24"/>
        </w:rPr>
        <w:t>ALJ Barnett has concluded that the public interest requires a reduction of the usual 30-day period for public review and comments to 10 days and AReM does not argue with regard to his conclusion, so far as it is applicable to the suspension of direct access.  However, there is no risk of significant harm to the public health and welfare if the Commission acts on the PX credit issue in accordance with its normal procedures.  Indeed, should the Commission act on the PX credit issue on an expedited basis, using Rule 77.7 (f)(9) as its rationale, its decision will be subject to legal challenge and possible reversal.  AReM therefore strongly recommends that the Commission bifurcate the PX credit and the direct access suspension issues and rule solely on the latter at its June 28 meeting.</w:t>
      </w:r>
    </w:p>
    <w:p>
      <w:pPr>
        <w:pStyle w:val="BodyTextIndent2"/>
        <w:spacing w:lineRule="auto" w:line="360"/>
        <w:ind w:hanging="0" w:end="0"/>
        <w:jc w:val="center"/>
        <w:rPr>
          <w:b/>
          <w:bCs/>
          <w:sz w:val="24"/>
        </w:rPr>
      </w:pPr>
      <w:r>
        <w:rPr>
          <w:b/>
          <w:bCs/>
          <w:sz w:val="24"/>
        </w:rPr>
      </w:r>
    </w:p>
    <w:p>
      <w:pPr>
        <w:pStyle w:val="BodyTextIndent2"/>
        <w:spacing w:lineRule="auto" w:line="480"/>
        <w:ind w:hanging="0" w:end="0"/>
        <w:jc w:val="center"/>
        <w:rPr/>
      </w:pPr>
      <w:r>
        <w:rPr>
          <w:b/>
          <w:sz w:val="24"/>
        </w:rPr>
        <w:t>VII.  Conclusion</w:t>
      </w:r>
      <w:r>
        <w:rPr>
          <w:sz w:val="24"/>
        </w:rPr>
        <w:t xml:space="preserve"> </w:t>
      </w:r>
    </w:p>
    <w:p>
      <w:pPr>
        <w:pStyle w:val="BodyText"/>
        <w:widowControl/>
        <w:ind w:firstLine="720" w:end="0"/>
        <w:jc w:val="both"/>
        <w:rPr/>
      </w:pPr>
      <w:r>
        <w:rPr/>
        <w:t>Both the DD and the ADD err with regard to the SCE Petition and the PX credit issue.  The analysis is faulty, the remedy lacks specificity and the financial impact on direct access customers has been completely ignored.  AReM recommends that the SCE Petition should be rejected, for the following reasons:</w:t>
      </w:r>
    </w:p>
    <w:p>
      <w:pPr>
        <w:pStyle w:val="Normal"/>
        <w:numPr>
          <w:ilvl w:val="0"/>
          <w:numId w:val="1"/>
        </w:numPr>
        <w:spacing w:lineRule="auto" w:line="480"/>
        <w:jc w:val="both"/>
        <w:rPr/>
      </w:pPr>
      <w:r>
        <w:rPr/>
        <w:t xml:space="preserve">Direct access customers are </w:t>
      </w:r>
      <w:r>
        <w:rPr>
          <w:u w:val="single"/>
        </w:rPr>
        <w:t xml:space="preserve">not </w:t>
      </w:r>
      <w:r>
        <w:rPr/>
        <w:t xml:space="preserve">being subsidized by SCE.  Any so-called subsidy is caused by the existence of frozen rates, and the subsidy is equally applicable to </w:t>
      </w:r>
      <w:r>
        <w:rPr>
          <w:u w:val="single"/>
        </w:rPr>
        <w:t>both</w:t>
      </w:r>
      <w:r>
        <w:rPr/>
        <w:t xml:space="preserve"> bundled and direct access customers.  If anything, direct access customers have subsidized bundled customers by reducing the utilities’ requirement to purchase more expensive power at the margin.  </w:t>
      </w:r>
    </w:p>
    <w:p>
      <w:pPr>
        <w:pStyle w:val="Normal"/>
        <w:numPr>
          <w:ilvl w:val="0"/>
          <w:numId w:val="1"/>
        </w:numPr>
        <w:spacing w:lineRule="auto" w:line="480"/>
        <w:jc w:val="both"/>
        <w:rPr/>
      </w:pPr>
      <w:r>
        <w:rPr/>
        <w:t>Both the DD and the ADD are totally silent with regard to the literally hundreds of millions of dollars owed to direct access customers and the ESPs who served them for power sales made prior to January 5, 2001 and the DD does not even require the utilities to continue to accrue on their books any and all credits that are due.</w:t>
      </w:r>
    </w:p>
    <w:p>
      <w:pPr>
        <w:pStyle w:val="Normal"/>
        <w:numPr>
          <w:ilvl w:val="0"/>
          <w:numId w:val="1"/>
        </w:numPr>
        <w:spacing w:lineRule="auto" w:line="480"/>
        <w:jc w:val="both"/>
        <w:rPr/>
      </w:pPr>
      <w:r>
        <w:rPr/>
        <w:t xml:space="preserve">Neither decision offers subjective criteria that could be used to determine when the utilities’ liquidity crises have ended. </w:t>
      </w:r>
    </w:p>
    <w:p>
      <w:pPr>
        <w:pStyle w:val="Normal"/>
        <w:numPr>
          <w:ilvl w:val="0"/>
          <w:numId w:val="1"/>
        </w:numPr>
        <w:spacing w:lineRule="auto" w:line="480"/>
        <w:jc w:val="both"/>
        <w:rPr/>
      </w:pPr>
      <w:r>
        <w:rPr/>
        <w:t xml:space="preserve">The payment of PX credits is currently before the Commission in the form of complaints filed by APSES, Enron and ABAG.  It is improper and a denial of procedural due process to pre-determine the outcome of those complaints by adopting either of the draft decisions. </w:t>
      </w:r>
    </w:p>
    <w:p>
      <w:pPr>
        <w:pStyle w:val="Normal"/>
        <w:numPr>
          <w:ilvl w:val="0"/>
          <w:numId w:val="1"/>
        </w:numPr>
        <w:spacing w:lineRule="auto" w:line="480"/>
        <w:jc w:val="both"/>
        <w:rPr/>
      </w:pPr>
      <w:r>
        <w:rPr/>
        <w:t>The Petition is procedurally defective, in that it fails to comply with several elements of the Commission’s Rules of Practice and Procedure relating both to petitions for modification and stipulations.</w:t>
      </w:r>
    </w:p>
    <w:p>
      <w:pPr>
        <w:pStyle w:val="BodyText"/>
        <w:widowControl/>
        <w:ind w:firstLine="720" w:end="0"/>
        <w:jc w:val="both"/>
        <w:rPr/>
      </w:pPr>
      <w:r>
        <w:rPr/>
        <w:t>With regard to the suspension of direct access, AReM supports the ADD.  It is clear that further action by the Legislature is pending and there are other options, as described above, to remedy the credit concerns of DWR.  AReM also strongly supports the ADD’s call for a move to a bottom’s-up rate methodology for direct access customers.</w:t>
      </w:r>
    </w:p>
    <w:p>
      <w:pPr>
        <w:pStyle w:val="BodyText"/>
        <w:widowControl/>
        <w:ind w:firstLine="720" w:end="0"/>
        <w:jc w:val="both"/>
        <w:rPr/>
      </w:pPr>
      <w:r>
        <w:rPr/>
        <w:t>Finally, and perhaps most importantly, AReM strongly urges the Commission to bifurcate the direct access suspension and the PX credit issues.  Resolution of the first may well be required on an expedited basis, as described above.  However, it is equally apparent that resolution of the PX credit issue is not subject to the “significant harm to public health and welfare” standard that must be met if the Commission is to shorten the time for its consideration of draft decisions.  The PX credit issue should be placed on a more procedurally appropriate schedule.  As the utilities stopped paying the PX credit many months ago and the overwhelming majority of direct access customers have been returned to bundled service, there is neither the need nor the right for the Commission to act in this expedited fashion.  A more calm and rational analysis is called for, so that the many issues discussed above can be resolved in a manner which is fair to all parties.</w:t>
      </w:r>
    </w:p>
    <w:p>
      <w:pPr>
        <w:pStyle w:val="Normal"/>
        <w:tabs>
          <w:tab w:val="clear" w:pos="720"/>
          <w:tab w:val="left" w:pos="-720" w:leader="none"/>
        </w:tabs>
        <w:suppressAutoHyphens w:val="true"/>
        <w:ind w:start="1509" w:end="0"/>
        <w:jc w:val="both"/>
        <w:rPr>
          <w:spacing w:val="-3"/>
        </w:rPr>
      </w:pPr>
      <w:r>
        <w:rPr>
          <w:spacing w:val="-3"/>
        </w:rPr>
        <w:tab/>
        <w:tab/>
        <w:tab/>
        <w:tab/>
      </w:r>
    </w:p>
    <w:p>
      <w:pPr>
        <w:pStyle w:val="Normal"/>
        <w:tabs>
          <w:tab w:val="clear" w:pos="720"/>
          <w:tab w:val="left" w:pos="-720" w:leader="none"/>
        </w:tabs>
        <w:suppressAutoHyphens w:val="true"/>
        <w:ind w:start="1509" w:end="0"/>
        <w:jc w:val="both"/>
        <w:rPr>
          <w:spacing w:val="-3"/>
        </w:rPr>
      </w:pPr>
      <w:r>
        <w:rPr>
          <w:spacing w:val="-3"/>
        </w:rPr>
        <w:tab/>
        <w:tab/>
        <w:tab/>
        <w:tab/>
        <w:t>Respectfully submitted,</w:t>
      </w:r>
    </w:p>
    <w:p>
      <w:pPr>
        <w:pStyle w:val="Normal"/>
        <w:tabs>
          <w:tab w:val="clear" w:pos="720"/>
          <w:tab w:val="left" w:pos="-720" w:leader="none"/>
        </w:tabs>
        <w:suppressAutoHyphens w:val="true"/>
        <w:ind w:start="1509" w:end="0"/>
        <w:jc w:val="both"/>
        <w:rPr>
          <w:spacing w:val="-3"/>
        </w:rPr>
      </w:pPr>
      <w:r>
        <w:rPr>
          <w:spacing w:val="-3"/>
        </w:rPr>
      </w:r>
    </w:p>
    <w:p>
      <w:pPr>
        <w:pStyle w:val="Normal"/>
        <w:tabs>
          <w:tab w:val="clear" w:pos="720"/>
          <w:tab w:val="left" w:pos="-720" w:leader="none"/>
        </w:tabs>
        <w:suppressAutoHyphens w:val="true"/>
        <w:jc w:val="both"/>
        <w:rPr>
          <w:spacing w:val="-3"/>
        </w:rPr>
      </w:pPr>
      <w:r>
        <w:rPr>
          <w:spacing w:val="-3"/>
        </w:rPr>
        <w:tab/>
        <w:tab/>
        <w:tab/>
        <w:tab/>
        <w:tab/>
        <w:tab/>
        <w:t>Daniel W. Douglass</w:t>
        <w:tab/>
        <w:tab/>
        <w:tab/>
        <w:tab/>
        <w:tab/>
      </w:r>
    </w:p>
    <w:p>
      <w:pPr>
        <w:pStyle w:val="Normal"/>
        <w:tabs>
          <w:tab w:val="clear" w:pos="720"/>
          <w:tab w:val="left" w:pos="-720" w:leader="none"/>
        </w:tabs>
        <w:suppressAutoHyphens w:val="true"/>
        <w:jc w:val="both"/>
        <w:rPr>
          <w:spacing w:val="-3"/>
        </w:rPr>
      </w:pPr>
      <w:r>
        <w:rPr>
          <w:spacing w:val="-3"/>
        </w:rPr>
      </w:r>
    </w:p>
    <w:p>
      <w:pPr>
        <w:pStyle w:val="Normal"/>
        <w:tabs>
          <w:tab w:val="clear" w:pos="720"/>
          <w:tab w:val="left" w:pos="-720" w:leader="none"/>
        </w:tabs>
        <w:suppressAutoHyphens w:val="true"/>
        <w:jc w:val="both"/>
        <w:rPr>
          <w:spacing w:val="-3"/>
        </w:rPr>
      </w:pPr>
      <w:r>
        <w:rPr>
          <w:spacing w:val="-3"/>
        </w:rPr>
      </w:r>
    </w:p>
    <w:p>
      <w:pPr>
        <w:pStyle w:val="Normal"/>
        <w:tabs>
          <w:tab w:val="clear" w:pos="720"/>
          <w:tab w:val="left" w:pos="-720" w:leader="none"/>
        </w:tabs>
        <w:suppressAutoHyphens w:val="true"/>
        <w:jc w:val="both"/>
        <w:rPr>
          <w:spacing w:val="-3"/>
        </w:rPr>
      </w:pPr>
      <w:r>
        <w:rPr>
          <w:spacing w:val="-3"/>
        </w:rPr>
      </w:r>
    </w:p>
    <w:p>
      <w:pPr>
        <w:pStyle w:val="Normal"/>
        <w:tabs>
          <w:tab w:val="clear" w:pos="720"/>
          <w:tab w:val="left" w:pos="-720" w:leader="none"/>
        </w:tabs>
        <w:suppressAutoHyphens w:val="true"/>
        <w:jc w:val="both"/>
        <w:rPr>
          <w:spacing w:val="-3"/>
        </w:rPr>
      </w:pPr>
      <w:r>
        <w:rPr>
          <w:spacing w:val="-3"/>
        </w:rPr>
        <w:tab/>
        <w:tab/>
        <w:tab/>
        <w:tab/>
        <w:tab/>
        <w:tab/>
        <w:t>________________________________</w:t>
      </w:r>
    </w:p>
    <w:p>
      <w:pPr>
        <w:pStyle w:val="Normal"/>
        <w:ind w:start="4320" w:end="0"/>
        <w:rPr/>
      </w:pPr>
      <w:r>
        <w:rPr/>
        <w:br/>
        <w:t xml:space="preserve"> </w:t>
        <w:br/>
        <w:t>5959 Topanga Canyon Blvd., Suite 244</w:t>
        <w:br/>
        <w:t>Woodland Hills, CA 91367</w:t>
        <w:br/>
        <w:t>Telephone:  (818) 596-2201</w:t>
        <w:br/>
        <w:t>Facsimile:   (818) 346-6502</w:t>
      </w:r>
    </w:p>
    <w:p>
      <w:pPr>
        <w:pStyle w:val="Normal"/>
        <w:tabs>
          <w:tab w:val="clear" w:pos="720"/>
          <w:tab w:val="left" w:pos="-720" w:leader="none"/>
        </w:tabs>
        <w:suppressAutoHyphens w:val="true"/>
        <w:ind w:start="4320" w:end="0"/>
        <w:jc w:val="both"/>
        <w:rPr>
          <w:spacing w:val="-3"/>
        </w:rPr>
      </w:pPr>
      <w:r>
        <w:rPr/>
        <w:t>E-Mail:  douglass@arterhadden.com</w:t>
      </w:r>
    </w:p>
    <w:p>
      <w:pPr>
        <w:pStyle w:val="Normal"/>
        <w:tabs>
          <w:tab w:val="clear" w:pos="720"/>
          <w:tab w:val="left" w:pos="-720" w:leader="none"/>
        </w:tabs>
        <w:suppressAutoHyphens w:val="true"/>
        <w:jc w:val="both"/>
        <w:rPr>
          <w:spacing w:val="-3"/>
        </w:rPr>
      </w:pPr>
      <w:r>
        <w:rPr>
          <w:spacing w:val="-3"/>
        </w:rPr>
      </w:r>
    </w:p>
    <w:p>
      <w:pPr>
        <w:pStyle w:val="Normal"/>
        <w:tabs>
          <w:tab w:val="clear" w:pos="720"/>
          <w:tab w:val="left" w:pos="-720" w:leader="none"/>
        </w:tabs>
        <w:suppressAutoHyphens w:val="true"/>
        <w:jc w:val="both"/>
        <w:rPr>
          <w:spacing w:val="-3"/>
        </w:rPr>
      </w:pPr>
      <w:r>
        <w:rPr>
          <w:spacing w:val="-3"/>
        </w:rPr>
        <w:tab/>
        <w:tab/>
        <w:tab/>
        <w:tab/>
        <w:tab/>
        <w:tab/>
        <w:t xml:space="preserve">Counsel for </w:t>
      </w:r>
    </w:p>
    <w:p>
      <w:pPr>
        <w:pStyle w:val="Normal"/>
        <w:tabs>
          <w:tab w:val="clear" w:pos="720"/>
          <w:tab w:val="left" w:pos="-720" w:leader="none"/>
        </w:tabs>
        <w:suppressAutoHyphens w:val="true"/>
        <w:jc w:val="both"/>
        <w:rPr>
          <w:spacing w:val="-3"/>
        </w:rPr>
      </w:pPr>
      <w:r>
        <w:rPr>
          <w:spacing w:val="-3"/>
        </w:rPr>
        <w:tab/>
        <w:tab/>
        <w:tab/>
        <w:tab/>
        <w:tab/>
        <w:tab/>
        <w:t>ALLIANCE FOR RETAIL ENERGY MARKETS</w:t>
      </w:r>
    </w:p>
    <w:p>
      <w:pPr>
        <w:pStyle w:val="Normal"/>
        <w:tabs>
          <w:tab w:val="clear" w:pos="720"/>
          <w:tab w:val="left" w:pos="-1440" w:leader="none"/>
          <w:tab w:val="left" w:pos="-720" w:leader="none"/>
        </w:tabs>
        <w:rPr>
          <w:spacing w:val="-3"/>
        </w:rPr>
      </w:pPr>
      <w:r>
        <w:rPr>
          <w:spacing w:val="-3"/>
        </w:rPr>
      </w:r>
    </w:p>
    <w:p>
      <w:pPr>
        <w:pStyle w:val="Normal"/>
        <w:tabs>
          <w:tab w:val="clear" w:pos="720"/>
          <w:tab w:val="left" w:pos="-1440" w:leader="none"/>
          <w:tab w:val="left" w:pos="-720" w:leader="none"/>
        </w:tabs>
        <w:rPr>
          <w:spacing w:val="-3"/>
        </w:rPr>
      </w:pPr>
      <w:r>
        <w:rPr>
          <w:spacing w:val="-3"/>
        </w:rPr>
      </w:r>
    </w:p>
    <w:p>
      <w:pPr>
        <w:pStyle w:val="Normal"/>
        <w:spacing w:before="0" w:after="240"/>
        <w:rPr/>
      </w:pPr>
      <w:r>
        <w:rPr/>
        <w:t>June 25, 2001</w:t>
      </w:r>
      <w:r>
        <w:br w:type="page"/>
      </w:r>
    </w:p>
    <w:p>
      <w:pPr>
        <w:pStyle w:val="Normal"/>
        <w:tabs>
          <w:tab w:val="clear" w:pos="720"/>
          <w:tab w:val="left" w:pos="-1440" w:leader="none"/>
          <w:tab w:val="left" w:pos="-720" w:leader="none"/>
        </w:tabs>
        <w:jc w:val="center"/>
        <w:rPr>
          <w:b/>
        </w:rPr>
      </w:pPr>
      <w:r>
        <w:rPr>
          <w:b/>
        </w:rPr>
        <w:t>CERTIFICATE OF SERVICE</w:t>
      </w:r>
    </w:p>
    <w:p>
      <w:pPr>
        <w:pStyle w:val="Normal"/>
        <w:tabs>
          <w:tab w:val="clear" w:pos="720"/>
          <w:tab w:val="left" w:pos="-1440" w:leader="none"/>
          <w:tab w:val="left" w:pos="-720" w:leader="none"/>
        </w:tabs>
        <w:jc w:val="both"/>
        <w:rPr/>
      </w:pPr>
      <w:r>
        <w:rPr/>
      </w:r>
    </w:p>
    <w:p>
      <w:pPr>
        <w:pStyle w:val="Normal"/>
        <w:jc w:val="both"/>
        <w:rPr/>
      </w:pPr>
      <w:r>
        <w:rPr/>
        <w:tab/>
        <w:t>I hereby certify that I have this day served a copy of the Comments of the Alliance for Retail Energy Markets Regarding the Draft Decisions of ALJ Barnett and Commissioner Bilas on all parties of record in the above captioned proceedings by both mailing a properly addressed copy by first-class mail with postage prepaid to each party and by serving an electronic copy on their email addresses of record.</w:t>
      </w:r>
    </w:p>
    <w:p>
      <w:pPr>
        <w:pStyle w:val="Normal"/>
        <w:suppressAutoHyphens w:val="true"/>
        <w:ind w:firstLine="720" w:end="0"/>
        <w:jc w:val="both"/>
        <w:rPr/>
      </w:pPr>
      <w:r>
        <w:rPr/>
      </w:r>
    </w:p>
    <w:p>
      <w:pPr>
        <w:pStyle w:val="Normal"/>
        <w:suppressAutoHyphens w:val="true"/>
        <w:ind w:firstLine="720" w:end="0"/>
        <w:jc w:val="both"/>
        <w:rPr/>
      </w:pPr>
      <w:r>
        <w:rPr/>
        <w:t>Executed on June 25, 2001, at Los Angeles, California.</w:t>
      </w:r>
    </w:p>
    <w:p>
      <w:pPr>
        <w:pStyle w:val="Normal"/>
        <w:tabs>
          <w:tab w:val="clear" w:pos="720"/>
          <w:tab w:val="left" w:pos="-1440" w:leader="none"/>
          <w:tab w:val="left" w:pos="-720" w:leader="none"/>
        </w:tabs>
        <w:jc w:val="both"/>
        <w:rPr/>
      </w:pPr>
      <w:r>
        <w:rPr/>
      </w:r>
    </w:p>
    <w:p>
      <w:pPr>
        <w:pStyle w:val="Normal"/>
        <w:tabs>
          <w:tab w:val="clear" w:pos="720"/>
          <w:tab w:val="left" w:pos="-1440" w:leader="none"/>
          <w:tab w:val="left" w:pos="-720" w:leader="none"/>
        </w:tabs>
        <w:jc w:val="both"/>
        <w:rPr/>
      </w:pPr>
      <w:r>
        <w:rPr/>
        <w:tab/>
        <w:tab/>
        <w:tab/>
        <w:tab/>
        <w:tab/>
        <w:tab/>
        <w:tab/>
        <w:t>_______________________________</w:t>
      </w:r>
    </w:p>
    <w:tbl>
      <w:tblPr>
        <w:tblW w:w="9090" w:type="dxa"/>
        <w:jc w:val="start"/>
        <w:tblInd w:w="0" w:type="dxa"/>
        <w:tblLayout w:type="fixed"/>
        <w:tblCellMar>
          <w:top w:w="0" w:type="dxa"/>
          <w:start w:w="0" w:type="dxa"/>
          <w:bottom w:w="0" w:type="dxa"/>
          <w:end w:w="0" w:type="dxa"/>
        </w:tblCellMar>
      </w:tblPr>
      <w:tblGrid>
        <w:gridCol w:w="4320"/>
        <w:gridCol w:w="4770"/>
      </w:tblGrid>
      <w:tr>
        <w:trPr/>
        <w:tc>
          <w:tcPr>
            <w:tcW w:w="4320" w:type="dxa"/>
            <w:tcBorders/>
          </w:tcPr>
          <w:p>
            <w:pPr>
              <w:pStyle w:val="Normal"/>
              <w:tabs>
                <w:tab w:val="clear" w:pos="720"/>
                <w:tab w:val="left" w:pos="-1440" w:leader="none"/>
                <w:tab w:val="left" w:pos="-720" w:leader="none"/>
              </w:tabs>
              <w:snapToGrid w:val="false"/>
              <w:jc w:val="both"/>
              <w:rPr/>
            </w:pPr>
            <w:r>
              <w:rPr/>
            </w:r>
          </w:p>
        </w:tc>
        <w:tc>
          <w:tcPr>
            <w:tcW w:w="4770" w:type="dxa"/>
            <w:tcBorders/>
          </w:tcPr>
          <w:p>
            <w:pPr>
              <w:pStyle w:val="Normal"/>
              <w:tabs>
                <w:tab w:val="clear" w:pos="720"/>
                <w:tab w:val="left" w:pos="-1440" w:leader="none"/>
                <w:tab w:val="left" w:pos="-720" w:leader="none"/>
              </w:tabs>
              <w:jc w:val="both"/>
              <w:rPr/>
            </w:pPr>
            <w:r>
              <w:rPr/>
              <w:tab/>
              <w:t xml:space="preserve">                  Michelle Dangott</w:t>
            </w:r>
          </w:p>
        </w:tc>
      </w:tr>
    </w:tbl>
    <w:p>
      <w:pPr>
        <w:pStyle w:val="Normal"/>
        <w:spacing w:before="0" w:after="240"/>
        <w:rPr/>
      </w:pPr>
      <w:r>
        <w:rPr/>
      </w:r>
    </w:p>
    <w:p>
      <w:pPr>
        <w:pStyle w:val="Normal"/>
        <w:rPr>
          <w:b/>
          <w:bCs/>
        </w:rPr>
      </w:pPr>
      <w:r>
        <w:rPr>
          <w:b/>
          <w:bCs/>
        </w:rPr>
      </w:r>
    </w:p>
    <w:sectPr>
      <w:footerReference w:type="default" r:id="rId2"/>
      <w:footerReference w:type="first" r:id="rId3"/>
      <w:footnotePr>
        <w:numFmt w:val="decimal"/>
      </w:footnotePr>
      <w:type w:val="nextPage"/>
      <w:pgSz w:w="12240" w:h="15840"/>
      <w:pgMar w:left="1440" w:right="1440" w:gutter="0" w:header="0" w:top="1440" w:footer="720" w:bottom="1440"/>
      <w:pgNumType w:start="0"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 w:name="Helvetica">
    <w:altName w:val="Arial"/>
    <w:charset w:val="00" w:characterSet="windows-1252"/>
    <w:family w:val="swiss"/>
    <w:pitch w:val="variable"/>
  </w:font>
  <w:font w:name="Palatino">
    <w:altName w:val="Book Antiqua"/>
    <w:charset w:val="00" w:characterSet="windows-1252"/>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25">
              <wp:simplePos x="0" y="0"/>
              <wp:positionH relativeFrom="margin">
                <wp:align>center</wp:align>
              </wp:positionH>
              <wp:positionV relativeFrom="paragraph">
                <wp:posOffset>635</wp:posOffset>
              </wp:positionV>
              <wp:extent cx="153035" cy="175260"/>
              <wp:effectExtent l="0" t="0" r="0" b="0"/>
              <wp:wrapSquare wrapText="bothSides"/>
              <wp:docPr id="1" name="Frame1"/>
              <a:graphic xmlns:a="http://schemas.openxmlformats.org/drawingml/2006/main">
                <a:graphicData uri="http://schemas.microsoft.com/office/word/2010/wordprocessingShape">
                  <wps:wsp>
                    <wps:cNvSpPr txBox="1"/>
                    <wps:spPr>
                      <a:xfrm>
                        <a:off x="0" y="0"/>
                        <a:ext cx="153035" cy="17526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24</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2.05pt;height:13.8pt;mso-wrap-distance-left:0pt;mso-wrap-distance-right:0pt;mso-wrap-distance-top:0pt;mso-wrap-distance-bottom:0pt;margin-top:0.05pt;mso-position-vertical-relative:text;margin-left:228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24</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ind w:firstLine="720" w:end="0"/>
        <w:jc w:val="both"/>
        <w:rPr/>
      </w:pPr>
      <w:r>
        <w:rPr>
          <w:rStyle w:val="FootnoteCharacters"/>
        </w:rPr>
        <w:footnoteRef/>
      </w:r>
      <w:r>
        <w:rPr/>
        <w:t xml:space="preserve"> </w:t>
      </w:r>
      <w:r>
        <w:rPr>
          <w:sz w:val="20"/>
        </w:rPr>
        <w:t>The members of AReM serve most of the 150,000 California customers who have chosen a competitive electric provider.  AReM’s members include AES NewEnergy, Inc.; Calpine Corporation; Commonwealth Energy Corp.; Enron Energy Services, Inc.; Green Mountain Energy Company; The New Power Company; Shell Energy Services; and Strategic Energy, L.L.C</w:t>
      </w:r>
      <w:r>
        <w:rPr>
          <w:color w:val="FF0000"/>
          <w:sz w:val="20"/>
        </w:rPr>
        <w:t xml:space="preserve">.  </w:t>
      </w:r>
      <w:r>
        <w:rPr>
          <w:b/>
          <w:bCs/>
          <w:color w:val="FF0000"/>
          <w:sz w:val="20"/>
          <w:u w:val="single"/>
        </w:rPr>
        <w:t>[Does Calpine want to be listed here??  Does Chevron??]</w:t>
      </w:r>
    </w:p>
  </w:footnote>
  <w:footnote w:id="3">
    <w:p>
      <w:pPr>
        <w:pStyle w:val="FootnoteText"/>
        <w:ind w:firstLine="720" w:end="0"/>
        <w:rPr/>
      </w:pPr>
      <w:r>
        <w:rPr>
          <w:rStyle w:val="FootnoteCharacters"/>
        </w:rPr>
        <w:footnoteRef/>
      </w:r>
      <w:r>
        <w:rPr/>
        <w:t xml:space="preserve"> </w:t>
      </w:r>
      <w:r>
        <w:rPr>
          <w:sz w:val="20"/>
        </w:rPr>
        <w:t>Case No. 01-02-031.</w:t>
      </w:r>
    </w:p>
  </w:footnote>
  <w:footnote w:id="4">
    <w:p>
      <w:pPr>
        <w:pStyle w:val="Normal"/>
        <w:ind w:firstLine="720" w:end="0"/>
        <w:rPr/>
      </w:pPr>
      <w:r>
        <w:rPr>
          <w:rStyle w:val="FootnoteCharacters"/>
        </w:rPr>
        <w:footnoteRef/>
      </w:r>
      <w:r>
        <w:rPr/>
        <w:t xml:space="preserve"> </w:t>
      </w:r>
      <w:r>
        <w:rPr>
          <w:sz w:val="20"/>
        </w:rPr>
        <w:t>Case No. 01-01-029.</w:t>
      </w:r>
    </w:p>
  </w:footnote>
  <w:footnote w:id="5">
    <w:p>
      <w:pPr>
        <w:pStyle w:val="FootnoteText"/>
        <w:ind w:firstLine="720" w:end="0"/>
        <w:rPr/>
      </w:pPr>
      <w:r>
        <w:rPr>
          <w:rStyle w:val="FootnoteCharacters"/>
        </w:rPr>
        <w:footnoteRef/>
      </w:r>
      <w:r>
        <w:rPr/>
        <w:t xml:space="preserve"> </w:t>
      </w:r>
      <w:r>
        <w:rPr>
          <w:sz w:val="20"/>
        </w:rPr>
        <w:t>Case No. 01-01-051.</w:t>
      </w:r>
    </w:p>
  </w:footnote>
  <w:footnote w:id="6">
    <w:p>
      <w:pPr>
        <w:pStyle w:val="FootnoteText"/>
        <w:ind w:firstLine="720" w:end="0"/>
        <w:rPr/>
      </w:pPr>
      <w:r>
        <w:rPr>
          <w:rStyle w:val="FootnoteCharacters"/>
        </w:rPr>
        <w:footnoteRef/>
      </w:r>
      <w:r>
        <w:rPr/>
        <w:t xml:space="preserve"> </w:t>
      </w:r>
      <w:r>
        <w:rPr>
          <w:sz w:val="20"/>
        </w:rPr>
        <w:t>Case No. 01-01-051.</w:t>
      </w:r>
    </w:p>
  </w:footnote>
  <w:footnote w:id="7">
    <w:p>
      <w:pPr>
        <w:pStyle w:val="FootnoteText"/>
        <w:ind w:firstLine="720" w:end="0"/>
        <w:rPr/>
      </w:pPr>
      <w:r>
        <w:rPr>
          <w:rStyle w:val="FootnoteCharacters"/>
        </w:rPr>
        <w:footnoteRef/>
      </w:r>
      <w:r>
        <w:rPr/>
        <w:t xml:space="preserve"> </w:t>
      </w:r>
      <w:r>
        <w:rPr>
          <w:sz w:val="20"/>
        </w:rPr>
        <w:t>Case No. 01-03-001.</w:t>
      </w:r>
    </w:p>
  </w:footnote>
  <w:footnote w:id="8">
    <w:p>
      <w:pPr>
        <w:pStyle w:val="FootnoteText"/>
        <w:tabs>
          <w:tab w:val="clear" w:pos="720"/>
          <w:tab w:val="left" w:pos="360" w:leader="none"/>
        </w:tabs>
        <w:rPr/>
      </w:pPr>
      <w:r>
        <w:rPr>
          <w:rStyle w:val="FootnoteCharacters"/>
        </w:rPr>
        <w:footnoteRef/>
      </w:r>
      <w:r>
        <w:rPr/>
        <w:t xml:space="preserve"> </w:t>
      </w:r>
      <w:r>
        <w:rPr/>
        <w:tab/>
      </w:r>
      <w:r>
        <w:rPr>
          <w:i/>
          <w:sz w:val="20"/>
        </w:rPr>
        <w:t>Preferred Policy Decision</w:t>
      </w:r>
      <w:r>
        <w:rPr>
          <w:sz w:val="20"/>
        </w:rPr>
        <w:t>,</w:t>
      </w:r>
      <w:r>
        <w:rPr/>
        <w:t xml:space="preserve"> </w:t>
      </w:r>
      <w:r>
        <w:rPr>
          <w:sz w:val="20"/>
        </w:rPr>
        <w:t>D.95-12-063, as modified by D.96-01-009</w:t>
      </w:r>
    </w:p>
  </w:footnote>
  <w:footnote w:id="9">
    <w:p>
      <w:pPr>
        <w:pStyle w:val="FootnoteText"/>
        <w:tabs>
          <w:tab w:val="clear" w:pos="720"/>
          <w:tab w:val="left" w:pos="360" w:leader="none"/>
        </w:tabs>
        <w:rPr/>
      </w:pPr>
      <w:r>
        <w:rPr>
          <w:rStyle w:val="FootnoteCharacters"/>
        </w:rPr>
        <w:footnoteRef/>
      </w:r>
      <w:r>
        <w:rPr/>
        <w:t xml:space="preserve"> </w:t>
      </w:r>
      <w:r>
        <w:rPr/>
        <w:tab/>
      </w:r>
      <w:r>
        <w:rPr>
          <w:i/>
          <w:sz w:val="20"/>
        </w:rPr>
        <w:t>Second Interim Decision</w:t>
      </w:r>
      <w:r>
        <w:rPr>
          <w:sz w:val="20"/>
        </w:rPr>
        <w:t>, D. 97-05-040</w:t>
      </w:r>
    </w:p>
  </w:footnote>
  <w:footnote w:id="10">
    <w:p>
      <w:pPr>
        <w:pStyle w:val="FootnoteText"/>
        <w:ind w:firstLine="720" w:end="0"/>
        <w:rPr/>
      </w:pPr>
      <w:r>
        <w:rPr>
          <w:rStyle w:val="FootnoteCharacters"/>
        </w:rPr>
        <w:footnoteRef/>
      </w:r>
      <w:r>
        <w:rPr/>
        <w:t xml:space="preserve"> </w:t>
      </w:r>
      <w:r>
        <w:rPr>
          <w:sz w:val="20"/>
        </w:rPr>
        <w:t>ADD at page 11.</w:t>
      </w:r>
    </w:p>
  </w:footnote>
  <w:footnote w:id="11">
    <w:p>
      <w:pPr>
        <w:pStyle w:val="FootnoteText"/>
        <w:ind w:firstLine="720" w:end="0"/>
        <w:rPr/>
      </w:pPr>
      <w:r>
        <w:rPr>
          <w:rStyle w:val="FootnoteCharacters"/>
        </w:rPr>
        <w:footnoteRef/>
      </w:r>
      <w:r>
        <w:rPr/>
        <w:t xml:space="preserve"> </w:t>
      </w:r>
      <w:r>
        <w:rPr>
          <w:sz w:val="20"/>
        </w:rPr>
        <w:t>DD at page 11.</w:t>
      </w:r>
      <w:r>
        <w:rPr/>
        <w:t xml:space="preserve"> </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720"/>
        </w:tabs>
        <w:ind w:start="720" w:hanging="360"/>
      </w:pPr>
      <w:rPr>
        <w:rFonts w:ascii="Symbol" w:hAnsi="Symbol" w:cs="Symbol" w:hint="default"/>
      </w:rPr>
    </w:lvl>
    <w:lvl w:ilvl="1">
      <w:start w:val="2"/>
      <w:pStyle w:val="Heading2"/>
      <w:numFmt w:val="upperLetter"/>
      <w:lvlText w:val="%2."/>
      <w:lvlJc w:val="start"/>
      <w:pPr>
        <w:tabs>
          <w:tab w:val="num" w:pos="1440"/>
        </w:tabs>
        <w:ind w:start="1440" w:hanging="360"/>
      </w:pPr>
      <w:rPr>
        <w:i w:val="false"/>
        <w:b/>
      </w:rPr>
    </w:lvl>
    <w:lvl w:ilvl="2">
      <w:start w:val="1"/>
      <w:numFmt w:val="lowerRoman"/>
      <w:lvlText w:val="%3."/>
      <w:lvlJc w:val="end"/>
      <w:pPr>
        <w:tabs>
          <w:tab w:val="num" w:pos="2160"/>
        </w:tabs>
        <w:ind w:start="2160" w:hanging="180"/>
      </w:pPr>
    </w:lvl>
    <w:lvl w:ilvl="3">
      <w:start w:val="1"/>
      <w:numFmt w:val="decimal"/>
      <w:lvlText w:val="%4."/>
      <w:lvlJc w:val="start"/>
      <w:pPr>
        <w:tabs>
          <w:tab w:val="num" w:pos="2880"/>
        </w:tabs>
        <w:ind w:start="2880" w:hanging="360"/>
      </w:pPr>
    </w:lvl>
    <w:lvl w:ilvl="4">
      <w:start w:val="1"/>
      <w:numFmt w:val="lowerLetter"/>
      <w:lvlText w:val="%5."/>
      <w:lvlJc w:val="start"/>
      <w:pPr>
        <w:tabs>
          <w:tab w:val="num" w:pos="3600"/>
        </w:tabs>
        <w:ind w:start="3600" w:hanging="360"/>
      </w:pPr>
    </w:lvl>
    <w:lvl w:ilvl="5">
      <w:start w:val="1"/>
      <w:numFmt w:val="lowerRoman"/>
      <w:lvlText w:val="%6."/>
      <w:lvlJc w:val="end"/>
      <w:pPr>
        <w:tabs>
          <w:tab w:val="num" w:pos="4320"/>
        </w:tabs>
        <w:ind w:start="4320" w:hanging="180"/>
      </w:pPr>
    </w:lvl>
    <w:lvl w:ilvl="6">
      <w:start w:val="1"/>
      <w:numFmt w:val="decimal"/>
      <w:lvlText w:val="%7."/>
      <w:lvlJc w:val="start"/>
      <w:pPr>
        <w:tabs>
          <w:tab w:val="num" w:pos="5040"/>
        </w:tabs>
        <w:ind w:start="5040" w:hanging="360"/>
      </w:pPr>
    </w:lvl>
    <w:lvl w:ilvl="7">
      <w:start w:val="1"/>
      <w:numFmt w:val="lowerLetter"/>
      <w:lvlText w:val="%8."/>
      <w:lvlJc w:val="start"/>
      <w:pPr>
        <w:tabs>
          <w:tab w:val="num" w:pos="5760"/>
        </w:tabs>
        <w:ind w:start="5760" w:hanging="360"/>
      </w:pPr>
    </w:lvl>
    <w:lvl w:ilvl="8">
      <w:start w:val="1"/>
      <w:numFmt w:val="lowerRoman"/>
      <w:lvlText w:val="%9."/>
      <w:lvlJc w:val="end"/>
      <w:pPr>
        <w:tabs>
          <w:tab w:val="num" w:pos="6480"/>
        </w:tabs>
        <w:ind w:start="6480" w:hanging="180"/>
      </w:pPr>
    </w:lvl>
  </w:abstractNum>
  <w:abstractNum w:abstractNumId="2">
    <w:lvl w:ilvl="0">
      <w:start w:val="1"/>
      <w:numFmt w:val="bullet"/>
      <w:lvlText w:val=""/>
      <w:lvlJc w:val="start"/>
      <w:pPr>
        <w:tabs>
          <w:tab w:val="num" w:pos="720"/>
        </w:tabs>
        <w:ind w:start="720" w:hanging="360"/>
      </w:pPr>
      <w:rPr>
        <w:rFonts w:ascii="Symbol" w:hAnsi="Symbol" w:cs="Symbol" w:hint="default"/>
      </w:rPr>
    </w:lvl>
  </w:abstractNum>
  <w:abstractNum w:abstractNumId="3">
    <w:lvl w:ilvl="0">
      <w:start w:val="3"/>
      <w:numFmt w:val="upperLetter"/>
      <w:lvlText w:val="%1."/>
      <w:lvlJc w:val="start"/>
      <w:pPr>
        <w:tabs>
          <w:tab w:val="num" w:pos="1995"/>
        </w:tabs>
        <w:ind w:start="1995" w:hanging="1275"/>
      </w:pPr>
      <w:rPr>
        <w:u w:val="none"/>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footnotePr>
    <w:numFmt w:val="decimal"/>
    <w:footnote w:id="0"/>
    <w:footnote w:id="1"/>
  </w:footnotePr>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jc w:val="center"/>
      <w:outlineLvl w:val="0"/>
    </w:pPr>
    <w:rPr>
      <w:b/>
      <w:bCs/>
    </w:rPr>
  </w:style>
  <w:style w:type="paragraph" w:styleId="Heading2">
    <w:name w:val="heading 2"/>
    <w:basedOn w:val="Normal"/>
    <w:next w:val="Normal"/>
    <w:qFormat/>
    <w:pPr>
      <w:keepNext w:val="true"/>
      <w:numPr>
        <w:ilvl w:val="1"/>
        <w:numId w:val="1"/>
      </w:numPr>
      <w:tabs>
        <w:tab w:val="clear" w:pos="720"/>
      </w:tabs>
      <w:ind w:hanging="0" w:start="1080" w:end="0"/>
      <w:outlineLvl w:val="1"/>
    </w:pPr>
    <w:rPr>
      <w:b/>
      <w:bCs/>
    </w:rPr>
  </w:style>
  <w:style w:type="paragraph" w:styleId="Heading4">
    <w:name w:val="heading 4"/>
    <w:basedOn w:val="Normal"/>
    <w:next w:val="Normal"/>
    <w:qFormat/>
    <w:pPr>
      <w:keepNext w:val="true"/>
      <w:widowControl w:val="false"/>
      <w:tabs>
        <w:tab w:val="clear" w:pos="720"/>
        <w:tab w:val="left" w:pos="-1440" w:leader="none"/>
        <w:tab w:val="left" w:pos="-720" w:leader="none"/>
      </w:tabs>
      <w:overflowPunct w:val="false"/>
      <w:autoSpaceDE w:val="false"/>
      <w:jc w:val="center"/>
      <w:textAlignment w:val="baseline"/>
      <w:outlineLvl w:val="3"/>
    </w:pPr>
    <w:rPr>
      <w:rFonts w:ascii="Arial" w:hAnsi="Arial" w:cs="Arial"/>
      <w:szCs w:val="20"/>
    </w:rPr>
  </w:style>
  <w:style w:type="character" w:styleId="WW8Num1z0">
    <w:name w:val="WW8Num1z0"/>
    <w:qFormat/>
    <w:rPr>
      <w:rFonts w:ascii="Symbol" w:hAnsi="Symbol" w:cs="Symbol"/>
    </w:rPr>
  </w:style>
  <w:style w:type="character" w:styleId="WW8Num2z0">
    <w:name w:val="WW8Num2z0"/>
    <w:qFormat/>
    <w:rPr>
      <w:b/>
      <w:sz w:val="24"/>
    </w:rPr>
  </w:style>
  <w:style w:type="character" w:styleId="WW8Num3z0">
    <w:name w:val="WW8Num3z0"/>
    <w:qFormat/>
    <w:rPr>
      <w:u w:val="none"/>
    </w:rPr>
  </w:style>
  <w:style w:type="character" w:styleId="WW8Num4z0">
    <w:name w:val="WW8Num4z0"/>
    <w:qFormat/>
    <w:rPr>
      <w:b/>
      <w:sz w:val="24"/>
    </w:rPr>
  </w:style>
  <w:style w:type="character" w:styleId="WW8Num5z0">
    <w:name w:val="WW8Num5z0"/>
    <w:qFormat/>
    <w:rPr>
      <w:b/>
      <w:sz w:val="24"/>
    </w:rPr>
  </w:style>
  <w:style w:type="character" w:styleId="WW8Num6z0">
    <w:name w:val="WW8Num6z0"/>
    <w:qFormat/>
    <w:rPr>
      <w:b/>
      <w:sz w:val="24"/>
    </w:rPr>
  </w:style>
  <w:style w:type="character" w:styleId="WW8Num7z0">
    <w:name w:val="WW8Num7z0"/>
    <w:qFormat/>
    <w:rPr>
      <w:rFonts w:ascii="Symbol" w:hAnsi="Symbol" w:cs="Symbol"/>
    </w:rPr>
  </w:style>
  <w:style w:type="character" w:styleId="WW8Num7z1">
    <w:name w:val="WW8Num7z1"/>
    <w:qFormat/>
    <w:rPr>
      <w:rFonts w:ascii="Courier New" w:hAnsi="Courier New" w:cs="Courier New"/>
    </w:rPr>
  </w:style>
  <w:style w:type="character" w:styleId="WW8Num7z2">
    <w:name w:val="WW8Num7z2"/>
    <w:qFormat/>
    <w:rPr>
      <w:rFonts w:ascii="Wingdings" w:hAnsi="Wingdings" w:cs="Wingdings"/>
    </w:rPr>
  </w:style>
  <w:style w:type="character" w:styleId="WW8Num8z0">
    <w:name w:val="WW8Num8z0"/>
    <w:qFormat/>
    <w:rPr>
      <w:sz w:val="24"/>
    </w:rPr>
  </w:style>
  <w:style w:type="character" w:styleId="WW8Num9z0">
    <w:name w:val="WW8Num9z0"/>
    <w:qFormat/>
    <w:rPr>
      <w:rFonts w:ascii="Symbol" w:hAnsi="Symbol" w:cs="Symbol"/>
    </w:rPr>
  </w:style>
  <w:style w:type="character" w:styleId="WW8Num9z1">
    <w:name w:val="WW8Num9z1"/>
    <w:qFormat/>
    <w:rPr>
      <w:b/>
      <w:i w:val="false"/>
    </w:rPr>
  </w:style>
  <w:style w:type="character" w:styleId="WW8Num10z0">
    <w:name w:val="WW8Num10z0"/>
    <w:qFormat/>
    <w:rPr/>
  </w:style>
  <w:style w:type="character" w:styleId="WW8Num11z0">
    <w:name w:val="WW8Num11z0"/>
    <w:qFormat/>
    <w:rPr>
      <w:b/>
      <w:sz w:val="24"/>
    </w:rPr>
  </w:style>
  <w:style w:type="character" w:styleId="WW8NumSt7z0">
    <w:name w:val="WW8NumSt7z0"/>
    <w:qFormat/>
    <w:rPr>
      <w:sz w:val="24"/>
    </w:rPr>
  </w:style>
  <w:style w:type="character" w:styleId="DefaultParagraphFont">
    <w:name w:val="Default Paragraph Font"/>
    <w:qFormat/>
    <w:rPr/>
  </w:style>
  <w:style w:type="character" w:styleId="FootnoteCharacters">
    <w:name w:val="Footnote Characters"/>
    <w:basedOn w:val="DefaultParagraphFont"/>
    <w:qFormat/>
    <w:rPr>
      <w:sz w:val="20"/>
      <w:vertAlign w:val="superscript"/>
    </w:rPr>
  </w:style>
  <w:style w:type="character" w:styleId="PageNumber">
    <w:name w:val="page number"/>
    <w:basedOn w:val="DefaultParagraphFon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val="false"/>
      <w:overflowPunct w:val="false"/>
      <w:autoSpaceDE w:val="false"/>
      <w:spacing w:lineRule="auto" w:line="480"/>
      <w:ind w:firstLine="1440" w:start="0" w:end="0"/>
      <w:textAlignment w:val="baseline"/>
    </w:pPr>
    <w:rPr>
      <w:szCs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titlebar">
    <w:name w:val="title bar"/>
    <w:basedOn w:val="Normal"/>
    <w:qFormat/>
    <w:pPr>
      <w:keepNext w:val="true"/>
      <w:suppressAutoHyphens w:val="true"/>
      <w:jc w:val="center"/>
    </w:pPr>
    <w:rPr>
      <w:rFonts w:ascii="Helvetica;Arial" w:hAnsi="Helvetica;Arial" w:cs="Helvetica;Arial"/>
      <w:b/>
      <w:sz w:val="26"/>
      <w:szCs w:val="20"/>
    </w:rPr>
  </w:style>
  <w:style w:type="paragraph" w:styleId="FootnoteText">
    <w:name w:val="footnote text"/>
    <w:basedOn w:val="Normal"/>
    <w:pPr>
      <w:keepLines/>
      <w:widowControl w:val="false"/>
      <w:overflowPunct w:val="false"/>
      <w:autoSpaceDE w:val="false"/>
      <w:textAlignment w:val="baseline"/>
    </w:pPr>
    <w:rPr>
      <w:szCs w:val="20"/>
    </w:rPr>
  </w:style>
  <w:style w:type="paragraph" w:styleId="BodyTextIndent2">
    <w:name w:val="Body Text Indent 2"/>
    <w:basedOn w:val="Normal"/>
    <w:qFormat/>
    <w:pPr>
      <w:widowControl w:val="false"/>
      <w:overflowPunct w:val="false"/>
      <w:autoSpaceDE w:val="false"/>
      <w:ind w:firstLine="720" w:start="0" w:end="0"/>
      <w:textAlignment w:val="baseline"/>
    </w:pPr>
    <w:rPr>
      <w:sz w:val="20"/>
      <w:szCs w:val="2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standard">
    <w:name w:val="standard"/>
    <w:basedOn w:val="Normal"/>
    <w:qFormat/>
    <w:pPr>
      <w:spacing w:lineRule="auto" w:line="360"/>
      <w:ind w:firstLine="720" w:start="0" w:end="0"/>
    </w:pPr>
    <w:rPr>
      <w:rFonts w:ascii="Palatino;Book Antiqua" w:hAnsi="Palatino;Book Antiqua" w:cs="Palatino;Book Antiqua"/>
      <w:sz w:val="26"/>
      <w:szCs w:val="20"/>
    </w:rPr>
  </w:style>
  <w:style w:type="paragraph" w:styleId="BodyTextIndent">
    <w:name w:val="Body Text Indent"/>
    <w:basedOn w:val="Normal"/>
    <w:pPr>
      <w:spacing w:lineRule="auto" w:line="480"/>
      <w:ind w:firstLine="720" w:start="0" w:end="0"/>
    </w:pPr>
    <w:rPr/>
  </w:style>
  <w:style w:type="paragraph" w:styleId="BodyTextIndent3">
    <w:name w:val="Body Text Indent 3"/>
    <w:basedOn w:val="Normal"/>
    <w:qFormat/>
    <w:pPr>
      <w:spacing w:lineRule="auto" w:line="480"/>
      <w:ind w:firstLine="720" w:start="0" w:end="0"/>
      <w:jc w:val="both"/>
    </w:pPr>
    <w:rPr/>
  </w:style>
  <w:style w:type="paragraph" w:styleId="BodyText2">
    <w:name w:val="Body Text 2"/>
    <w:basedOn w:val="Normal"/>
    <w:qFormat/>
    <w:pPr>
      <w:spacing w:lineRule="auto" w:line="480"/>
      <w:jc w:val="both"/>
    </w:pPr>
    <w:rPr/>
  </w:style>
  <w:style w:type="paragraph" w:styleId="NormalIndent">
    <w:name w:val="Normal Indent"/>
    <w:basedOn w:val="Normal"/>
    <w:qFormat/>
    <w:pPr>
      <w:ind w:hanging="0" w:start="720" w:end="0"/>
    </w:pPr>
    <w:rPr/>
  </w:style>
  <w:style w:type="paragraph" w:styleId="QA">
    <w:name w:val="Q/A"/>
    <w:basedOn w:val="NormalIndent"/>
    <w:qFormat/>
    <w:pPr>
      <w:widowControl w:val="false"/>
      <w:overflowPunct w:val="false"/>
      <w:autoSpaceDE w:val="false"/>
      <w:ind w:hanging="360" w:start="360" w:end="0"/>
      <w:textAlignment w:val="baseline"/>
    </w:pPr>
    <w:rPr>
      <w:szCs w:val="20"/>
    </w:rPr>
  </w:style>
  <w:style w:type="paragraph" w:styleId="PlainText">
    <w:name w:val="Plain Text"/>
    <w:basedOn w:val="Normal"/>
    <w:qFormat/>
    <w:pPr>
      <w:widowControl w:val="false"/>
      <w:overflowPunct w:val="false"/>
      <w:autoSpaceDE w:val="false"/>
      <w:spacing w:lineRule="auto" w:line="360"/>
      <w:ind w:firstLine="720" w:start="0" w:end="0"/>
      <w:jc w:val="both"/>
      <w:textAlignment w:val="baseline"/>
    </w:pPr>
    <w:rPr>
      <w:szCs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437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2001-06-20T16:03:00Z</dcterms:created>
  <dc:creator>Daniel W. Douglass</dc:creator>
  <dc:description/>
  <dc:language>en-CA</dc:language>
  <cp:lastModifiedBy>Daniel W. Douglass</cp:lastModifiedBy>
  <dcterms:modified xsi:type="dcterms:W3CDTF">2001-06-21T03:09:00Z</dcterms:modified>
  <cp:revision>92</cp:revision>
  <dc:subject/>
  <dc:title>BEFORE THE PUBLIC UTILITIES COMMISSION</dc:title>
</cp:coreProperties>
</file>