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jc w:val="start"/>
        <w:rPr/>
      </w:pPr>
      <w:r>
        <w:rPr/>
      </w:r>
    </w:p>
    <w:p>
      <w:pPr>
        <w:pStyle w:val="Normal"/>
        <w:rPr/>
      </w:pPr>
      <w:r>
        <w:rPr/>
      </w:r>
    </w:p>
    <w:tbl>
      <w:tblPr>
        <w:tblW w:w="5148" w:type="dxa"/>
        <w:jc w:val="start"/>
        <w:tblInd w:w="0" w:type="dxa"/>
        <w:tblLayout w:type="fixed"/>
        <w:tblCellMar>
          <w:top w:w="0" w:type="dxa"/>
          <w:start w:w="108" w:type="dxa"/>
          <w:bottom w:w="0" w:type="dxa"/>
          <w:end w:w="108" w:type="dxa"/>
        </w:tblCellMar>
      </w:tblPr>
      <w:tblGrid>
        <w:gridCol w:w="2448"/>
        <w:gridCol w:w="2700"/>
      </w:tblGrid>
      <w:tr>
        <w:trPr/>
        <w:tc>
          <w:tcPr>
            <w:tcW w:w="2448" w:type="dxa"/>
            <w:tcBorders/>
          </w:tcPr>
          <w:p>
            <w:pPr>
              <w:pStyle w:val="Normal"/>
              <w:rPr/>
            </w:pPr>
            <w:r>
              <w:rPr/>
              <w:t>Application No.:</w:t>
            </w:r>
          </w:p>
        </w:tc>
        <w:tc>
          <w:tcPr>
            <w:tcW w:w="2700" w:type="dxa"/>
            <w:tcBorders>
              <w:bottom w:val="single" w:sz="6" w:space="0" w:color="000000"/>
            </w:tcBorders>
          </w:tcPr>
          <w:p>
            <w:pPr>
              <w:pStyle w:val="Normal"/>
              <w:rPr/>
            </w:pPr>
            <w:r>
              <w:rPr/>
              <w:t>00-11-038</w:t>
            </w:r>
          </w:p>
        </w:tc>
      </w:tr>
      <w:tr>
        <w:trPr/>
        <w:tc>
          <w:tcPr>
            <w:tcW w:w="2448" w:type="dxa"/>
            <w:tcBorders/>
          </w:tcPr>
          <w:p>
            <w:pPr>
              <w:pStyle w:val="Normal"/>
              <w:rPr/>
            </w:pPr>
            <w:r>
              <w:rPr/>
              <w:t>Exhibit No.:</w:t>
            </w:r>
          </w:p>
        </w:tc>
        <w:tc>
          <w:tcPr>
            <w:tcW w:w="2700" w:type="dxa"/>
            <w:tcBorders>
              <w:top w:val="single" w:sz="6" w:space="0" w:color="000000"/>
              <w:bottom w:val="single" w:sz="6" w:space="0" w:color="000000"/>
            </w:tcBorders>
          </w:tcPr>
          <w:p>
            <w:pPr>
              <w:pStyle w:val="Normal"/>
              <w:rPr/>
            </w:pPr>
            <w:r>
              <w:rPr/>
              <w:t>SCE-13</w:t>
            </w:r>
          </w:p>
        </w:tc>
      </w:tr>
      <w:tr>
        <w:trPr/>
        <w:tc>
          <w:tcPr>
            <w:tcW w:w="2448" w:type="dxa"/>
            <w:tcBorders/>
          </w:tcPr>
          <w:p>
            <w:pPr>
              <w:pStyle w:val="Normal"/>
              <w:spacing w:lineRule="auto" w:line="240"/>
              <w:rPr/>
            </w:pPr>
            <w:r>
              <w:rPr/>
              <w:t>Witnesses:</w:t>
            </w:r>
          </w:p>
        </w:tc>
        <w:tc>
          <w:tcPr>
            <w:tcW w:w="2700" w:type="dxa"/>
            <w:tcBorders>
              <w:top w:val="single" w:sz="6" w:space="0" w:color="000000"/>
              <w:bottom w:val="single" w:sz="6" w:space="0" w:color="000000"/>
            </w:tcBorders>
          </w:tcPr>
          <w:p>
            <w:pPr>
              <w:pStyle w:val="Normal"/>
              <w:spacing w:lineRule="auto" w:line="240"/>
              <w:rPr/>
            </w:pPr>
            <w:r>
              <w:rPr/>
              <w:t>C. E. Cushnie</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R. B. Davis</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C. C. Dominski</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J. P. Horswell</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P. T. Hunt</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D. R. Pierce</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M. C. Simpson</w:t>
            </w:r>
          </w:p>
        </w:tc>
      </w:tr>
      <w:tr>
        <w:trPr/>
        <w:tc>
          <w:tcPr>
            <w:tcW w:w="2448" w:type="dxa"/>
            <w:tcBorders/>
          </w:tcPr>
          <w:p>
            <w:pPr>
              <w:pStyle w:val="Normal"/>
              <w:snapToGrid w:val="false"/>
              <w:spacing w:lineRule="auto" w:line="240"/>
              <w:rPr/>
            </w:pPr>
            <w:r>
              <w:rPr/>
            </w:r>
          </w:p>
        </w:tc>
        <w:tc>
          <w:tcPr>
            <w:tcW w:w="2700" w:type="dxa"/>
            <w:tcBorders>
              <w:top w:val="single" w:sz="6" w:space="0" w:color="000000"/>
              <w:bottom w:val="single" w:sz="6" w:space="0" w:color="000000"/>
            </w:tcBorders>
          </w:tcPr>
          <w:p>
            <w:pPr>
              <w:pStyle w:val="Normal"/>
              <w:spacing w:lineRule="auto" w:line="240"/>
              <w:rPr/>
            </w:pPr>
            <w:r>
              <w:rPr/>
              <w:t>R. G. Worden</w:t>
            </w:r>
          </w:p>
        </w:tc>
      </w:tr>
    </w:tbl>
    <w:p>
      <w:pPr>
        <w:pStyle w:val="Normal"/>
        <w:rPr/>
      </w:pPr>
      <w:r>
        <w:rPr/>
      </w:r>
    </w:p>
    <w:p>
      <w:pPr>
        <w:pStyle w:val="Normal"/>
        <w:rPr/>
      </w:pPr>
      <w:r>
        <w:rPr/>
      </w:r>
    </w:p>
    <w:p>
      <w:pPr>
        <w:pStyle w:val="Normal"/>
        <w:jc w:val="center"/>
        <w:rPr>
          <w:sz w:val="80"/>
        </w:rPr>
      </w:pPr>
      <w:r>
        <w:rPr>
          <w:sz w:val="20"/>
        </w:rPr>
        <w:drawing>
          <wp:inline distT="0" distB="0" distL="0" distR="0">
            <wp:extent cx="3150235" cy="1113155"/>
            <wp:effectExtent l="0" t="0" r="0" b="0"/>
            <wp:docPr id="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 descr="" title=""/>
                    <pic:cNvPicPr>
                      <a:picLocks noChangeAspect="1" noChangeArrowheads="1"/>
                    </pic:cNvPicPr>
                  </pic:nvPicPr>
                  <pic:blipFill>
                    <a:blip r:embed="rId2"/>
                    <a:srcRect l="-9" t="-24" r="-9" b="-24"/>
                    <a:stretch>
                      <a:fillRect/>
                    </a:stretch>
                  </pic:blipFill>
                  <pic:spPr bwMode="auto">
                    <a:xfrm>
                      <a:off x="0" y="0"/>
                      <a:ext cx="3150235" cy="1113155"/>
                    </a:xfrm>
                    <a:prstGeom prst="rect">
                      <a:avLst/>
                    </a:prstGeom>
                    <a:noFill/>
                  </pic:spPr>
                </pic:pic>
              </a:graphicData>
            </a:graphic>
          </wp:inline>
        </w:drawing>
      </w:r>
    </w:p>
    <w:p>
      <w:pPr>
        <w:pStyle w:val="Normal"/>
        <w:jc w:val="center"/>
        <w:rPr>
          <w:sz w:val="80"/>
        </w:rPr>
      </w:pPr>
      <w:r>
        <w:rPr>
          <w:sz w:val="80"/>
        </w:rPr>
      </w:r>
    </w:p>
    <w:p>
      <w:pPr>
        <w:pStyle w:val="Normal"/>
        <w:jc w:val="center"/>
        <w:rPr/>
      </w:pPr>
      <w:r>
        <w:rPr/>
        <w:t>(U 338-E)</w:t>
      </w:r>
    </w:p>
    <w:p>
      <w:pPr>
        <w:pStyle w:val="Normal"/>
        <w:jc w:val="center"/>
        <w:rPr/>
      </w:pPr>
      <w:r>
        <w:rPr/>
      </w:r>
    </w:p>
    <w:p>
      <w:pPr>
        <w:pStyle w:val="Normal"/>
        <w:jc w:val="center"/>
        <w:rPr/>
      </w:pPr>
      <w:r>
        <w:rPr/>
      </w:r>
    </w:p>
    <w:tbl>
      <w:tblPr>
        <w:tblW w:w="8820" w:type="dxa"/>
        <w:jc w:val="start"/>
        <w:tblInd w:w="1818" w:type="dxa"/>
        <w:tblLayout w:type="fixed"/>
        <w:tblCellMar>
          <w:top w:w="0" w:type="dxa"/>
          <w:start w:w="108" w:type="dxa"/>
          <w:bottom w:w="0" w:type="dxa"/>
          <w:end w:w="108" w:type="dxa"/>
        </w:tblCellMar>
      </w:tblPr>
      <w:tblGrid>
        <w:gridCol w:w="8820"/>
      </w:tblGrid>
      <w:tr>
        <w:trPr/>
        <w:tc>
          <w:tcPr>
            <w:tcW w:w="8820" w:type="dxa"/>
            <w:tcBorders>
              <w:start w:val="single" w:sz="48" w:space="0" w:color="000000"/>
            </w:tcBorders>
          </w:tcPr>
          <w:p>
            <w:pPr>
              <w:pStyle w:val="Normal"/>
              <w:rPr>
                <w:b/>
                <w:i/>
                <w:i/>
                <w:sz w:val="36"/>
              </w:rPr>
            </w:pPr>
            <w:r>
              <w:rPr>
                <w:b/>
                <w:i/>
                <w:sz w:val="36"/>
              </w:rPr>
              <w:t>Southern California Edison Company</w:t>
              <w:br/>
              <w:t xml:space="preserve">Testimony on Utility Retained Generation </w:t>
            </w:r>
          </w:p>
        </w:tc>
      </w:tr>
    </w:tbl>
    <w:p>
      <w:pPr>
        <w:pStyle w:val="Normal"/>
        <w:jc w:val="center"/>
        <w:rPr/>
      </w:pPr>
      <w:r>
        <w:rPr/>
      </w:r>
    </w:p>
    <w:p>
      <w:pPr>
        <w:pStyle w:val="Normal"/>
        <w:ind w:start="2160" w:end="0"/>
        <w:rPr/>
      </w:pPr>
      <w:r>
        <w:rPr/>
        <w:t>Before the</w:t>
      </w:r>
    </w:p>
    <w:p>
      <w:pPr>
        <w:pStyle w:val="Normal"/>
        <w:ind w:start="2160" w:end="0"/>
        <w:rPr>
          <w:b/>
        </w:rPr>
      </w:pPr>
      <w:r>
        <w:rPr>
          <w:b/>
        </w:rPr>
        <w:t>Public Utilities Commission of the State of California</w:t>
      </w:r>
    </w:p>
    <w:p>
      <w:pPr>
        <w:pStyle w:val="Normal"/>
        <w:ind w:start="2160" w:end="0"/>
        <w:rPr>
          <w:b/>
        </w:rPr>
      </w:pPr>
      <w:r>
        <w:rPr>
          <w:b/>
        </w:rPr>
      </w:r>
    </w:p>
    <w:p>
      <w:pPr>
        <w:pStyle w:val="Normal"/>
        <w:ind w:start="2160" w:end="0"/>
        <w:rPr>
          <w:b/>
        </w:rPr>
      </w:pPr>
      <w:r>
        <w:rPr>
          <w:b/>
        </w:rPr>
      </w:r>
    </w:p>
    <w:tbl>
      <w:tblPr>
        <w:tblW w:w="9576" w:type="dxa"/>
        <w:jc w:val="start"/>
        <w:tblInd w:w="0" w:type="dxa"/>
        <w:tblLayout w:type="fixed"/>
        <w:tblCellMar>
          <w:top w:w="0" w:type="dxa"/>
          <w:start w:w="108" w:type="dxa"/>
          <w:bottom w:w="0" w:type="dxa"/>
          <w:end w:w="108" w:type="dxa"/>
        </w:tblCellMar>
      </w:tblPr>
      <w:tblGrid>
        <w:gridCol w:w="6858"/>
        <w:gridCol w:w="2718"/>
      </w:tblGrid>
      <w:tr>
        <w:trPr/>
        <w:tc>
          <w:tcPr>
            <w:tcW w:w="6858" w:type="dxa"/>
            <w:tcBorders/>
          </w:tcPr>
          <w:p>
            <w:pPr>
              <w:pStyle w:val="Normal"/>
              <w:snapToGrid w:val="false"/>
              <w:jc w:val="end"/>
              <w:rPr/>
            </w:pPr>
            <w:r>
              <w:rPr/>
            </w:r>
          </w:p>
        </w:tc>
        <w:tc>
          <w:tcPr>
            <w:tcW w:w="2718" w:type="dxa"/>
            <w:tcBorders/>
          </w:tcPr>
          <w:p>
            <w:pPr>
              <w:pStyle w:val="Normal"/>
              <w:jc w:val="end"/>
              <w:rPr/>
            </w:pPr>
            <w:r>
              <w:rPr/>
              <w:t>Rosemead, California</w:t>
            </w:r>
          </w:p>
        </w:tc>
      </w:tr>
      <w:tr>
        <w:trPr/>
        <w:tc>
          <w:tcPr>
            <w:tcW w:w="6858" w:type="dxa"/>
            <w:tcBorders/>
          </w:tcPr>
          <w:p>
            <w:pPr>
              <w:pStyle w:val="Normal"/>
              <w:snapToGrid w:val="false"/>
              <w:jc w:val="end"/>
              <w:rPr/>
            </w:pPr>
            <w:r>
              <w:rPr/>
            </w:r>
          </w:p>
        </w:tc>
        <w:tc>
          <w:tcPr>
            <w:tcW w:w="2718" w:type="dxa"/>
            <w:tcBorders/>
          </w:tcPr>
          <w:p>
            <w:pPr>
              <w:pStyle w:val="Normal"/>
              <w:jc w:val="end"/>
              <w:rPr/>
            </w:pPr>
            <w:r>
              <w:rPr/>
              <w:t>June 20, 2001</w:t>
            </w:r>
          </w:p>
        </w:tc>
      </w:tr>
    </w:tbl>
    <w:p>
      <w:pPr>
        <w:sectPr>
          <w:type w:val="nextPage"/>
          <w:pgSz w:w="12240" w:h="15840"/>
          <w:pgMar w:left="1440" w:right="1440" w:gutter="0" w:header="0" w:top="1440" w:footer="0" w:bottom="1296"/>
          <w:lnNumType w:countBy="1" w:restart="newPage" w:distance="283"/>
          <w:pgNumType w:fmt="decimal"/>
          <w:formProt w:val="false"/>
          <w:textDirection w:val="lrTb"/>
          <w:docGrid w:type="default" w:linePitch="360" w:charSpace="0"/>
        </w:sectPr>
      </w:pPr>
    </w:p>
    <w:sdt>
      <w:sdtPr>
        <w:docPartObj>
          <w:docPartGallery w:val="Table of Contents"/>
          <w:docPartUnique w:val="true"/>
        </w:docPartObj>
      </w:sdtPr>
      <w:sdtContent>
        <w:p>
          <w:pPr>
            <w:pStyle w:val="TOC1"/>
            <w:tabs>
              <w:tab w:val="left" w:pos="720" w:leader="none"/>
              <w:tab w:val="right" w:pos="8280" w:leader="dot"/>
              <w:tab w:val="left" w:pos="8712" w:leader="none"/>
            </w:tabs>
            <w:rPr/>
          </w:pPr>
          <w:r>
            <w:fldChar w:fldCharType="begin"/>
          </w:r>
          <w:r>
            <w:rPr>
              <w:lang w:val="en-CA"/>
            </w:rPr>
            <w:instrText xml:space="preserve"> TOC \o “1-5” \t “Appendix Title,1” \* MERGEFORMAT </w:instrText>
          </w:r>
          <w:r>
            <w:rPr>
              <w:lang w:val="en-CA"/>
            </w:rPr>
            <w:fldChar w:fldCharType="separate"/>
          </w:r>
          <w:r>
            <w:rPr>
              <w:lang w:val="en-CA"/>
            </w:rPr>
            <w:t>I.</w:t>
            <w:tab/>
            <w:t>BACKGROUND OF SOUTHERN CALIFORNIA EDISON’S UTILITY RETAINED GENERATION PROPOSAL</w:t>
            <w:tab/>
          </w:r>
          <w:hyperlink w:anchor="__RefHeading___Toc517698376">
            <w:r>
              <w:rPr>
                <w:rStyle w:val="IndexLink"/>
                <w:lang w:val="en-CA"/>
              </w:rPr>
              <w:t>1</w:t>
            </w:r>
          </w:hyperlink>
          <w:r>
            <w:rPr>
              <w:lang w:val="en-CA"/>
            </w:rPr>
            <w:tab/>
            <w:t>C. Dominski</w:t>
          </w:r>
        </w:p>
        <w:p>
          <w:pPr>
            <w:pStyle w:val="TOC2"/>
            <w:tabs>
              <w:tab w:val="left" w:pos="720" w:leader="none"/>
              <w:tab w:val="right" w:pos="8280" w:leader="dot"/>
              <w:tab w:val="left" w:pos="8712" w:leader="none"/>
            </w:tabs>
            <w:rPr>
              <w:lang w:val="en-CA"/>
            </w:rPr>
          </w:pPr>
          <w:r>
            <w:rPr>
              <w:lang w:val="en-CA"/>
            </w:rPr>
            <w:t>A.</w:t>
            <w:tab/>
            <w:t>Decision 01-01-061 and Advice Letter 1521-E</w:t>
            <w:tab/>
          </w:r>
          <w:hyperlink w:anchor="__RefHeading___Toc517698377">
            <w:r>
              <w:rPr>
                <w:rStyle w:val="IndexLink"/>
                <w:lang w:val="en-CA"/>
              </w:rPr>
              <w:t>1</w:t>
            </w:r>
          </w:hyperlink>
        </w:p>
        <w:p>
          <w:pPr>
            <w:pStyle w:val="TOC2"/>
            <w:tabs>
              <w:tab w:val="left" w:pos="720" w:leader="none"/>
              <w:tab w:val="right" w:pos="8280" w:leader="dot"/>
              <w:tab w:val="left" w:pos="8712" w:leader="none"/>
            </w:tabs>
            <w:rPr>
              <w:lang w:val="en-CA"/>
            </w:rPr>
          </w:pPr>
          <w:r>
            <w:rPr>
              <w:lang w:val="en-CA"/>
            </w:rPr>
            <w:t>B.</w:t>
            <w:tab/>
            <w:t>Decision 01-03-082 And Advice Letter 1528-E</w:t>
            <w:tab/>
          </w:r>
          <w:hyperlink w:anchor="__RefHeading___Toc517698378">
            <w:r>
              <w:rPr>
                <w:rStyle w:val="IndexLink"/>
                <w:lang w:val="en-CA"/>
              </w:rPr>
              <w:t>3</w:t>
            </w:r>
          </w:hyperlink>
        </w:p>
        <w:p>
          <w:pPr>
            <w:pStyle w:val="TOC2"/>
            <w:tabs>
              <w:tab w:val="left" w:pos="720" w:leader="none"/>
              <w:tab w:val="right" w:pos="8280" w:leader="dot"/>
              <w:tab w:val="left" w:pos="8712" w:leader="none"/>
            </w:tabs>
            <w:rPr>
              <w:lang w:val="en-CA"/>
            </w:rPr>
          </w:pPr>
          <w:r>
            <w:rPr>
              <w:lang w:val="en-CA"/>
            </w:rPr>
            <w:t>C.</w:t>
            <w:tab/>
            <w:t>Memorandum of Understanding and Its Effect on URG</w:t>
            <w:tab/>
          </w:r>
          <w:hyperlink w:anchor="__RefHeading___Toc517698379">
            <w:r>
              <w:rPr>
                <w:rStyle w:val="IndexLink"/>
                <w:lang w:val="en-CA"/>
              </w:rPr>
              <w:t>4</w:t>
            </w:r>
          </w:hyperlink>
        </w:p>
        <w:p>
          <w:pPr>
            <w:pStyle w:val="TOC2"/>
            <w:tabs>
              <w:tab w:val="left" w:pos="720" w:leader="none"/>
              <w:tab w:val="right" w:pos="8280" w:leader="dot"/>
              <w:tab w:val="left" w:pos="8712" w:leader="none"/>
            </w:tabs>
            <w:rPr>
              <w:lang w:val="en-CA"/>
            </w:rPr>
          </w:pPr>
          <w:r>
            <w:rPr>
              <w:lang w:val="en-CA"/>
            </w:rPr>
            <w:t>D.</w:t>
            <w:tab/>
            <w:t>Advice Letter 1534-E-A</w:t>
            <w:tab/>
          </w:r>
          <w:hyperlink w:anchor="__RefHeading___Toc517698380">
            <w:r>
              <w:rPr>
                <w:rStyle w:val="IndexLink"/>
                <w:lang w:val="en-CA"/>
              </w:rPr>
              <w:t>5</w:t>
            </w:r>
          </w:hyperlink>
        </w:p>
        <w:p>
          <w:pPr>
            <w:pStyle w:val="TOC2"/>
            <w:tabs>
              <w:tab w:val="left" w:pos="720" w:leader="none"/>
              <w:tab w:val="right" w:pos="8280" w:leader="dot"/>
              <w:tab w:val="left" w:pos="8712" w:leader="none"/>
            </w:tabs>
            <w:rPr>
              <w:lang w:val="en-CA"/>
            </w:rPr>
          </w:pPr>
          <w:r>
            <w:rPr>
              <w:lang w:val="en-CA"/>
            </w:rPr>
            <w:t>E.</w:t>
            <w:tab/>
            <w:t>Joint Ruling of Commissioner and ALJ</w:t>
            <w:tab/>
          </w:r>
          <w:hyperlink w:anchor="__RefHeading___Toc517698381">
            <w:r>
              <w:rPr>
                <w:rStyle w:val="IndexLink"/>
                <w:lang w:val="en-CA"/>
              </w:rPr>
              <w:t>6</w:t>
            </w:r>
          </w:hyperlink>
        </w:p>
        <w:p>
          <w:pPr>
            <w:pStyle w:val="TOC2"/>
            <w:tabs>
              <w:tab w:val="left" w:pos="720" w:leader="none"/>
              <w:tab w:val="right" w:pos="8280" w:leader="dot"/>
              <w:tab w:val="left" w:pos="8712" w:leader="none"/>
            </w:tabs>
            <w:rPr/>
          </w:pPr>
          <w:r>
            <w:rPr>
              <w:lang w:val="en-CA"/>
            </w:rPr>
            <w:t>F.</w:t>
            <w:tab/>
            <w:t>June 15 Ruling and Description of Remainder of This Testimony</w:t>
            <w:tab/>
          </w:r>
          <w:hyperlink w:anchor="__RefHeading___Toc517698382">
            <w:r>
              <w:rPr>
                <w:rStyle w:val="IndexLink"/>
                <w:lang w:val="en-CA"/>
              </w:rPr>
              <w:t>7</w:t>
            </w:r>
          </w:hyperlink>
          <w:r>
            <w:rPr>
              <w:lang w:val="en-CA"/>
            </w:rPr>
            <w:tab/>
          </w:r>
        </w:p>
        <w:p>
          <w:pPr>
            <w:pStyle w:val="TOC1"/>
            <w:tabs>
              <w:tab w:val="left" w:pos="720" w:leader="none"/>
              <w:tab w:val="right" w:pos="8280" w:leader="dot"/>
              <w:tab w:val="left" w:pos="8712" w:leader="none"/>
            </w:tabs>
            <w:rPr>
              <w:lang w:val="en-CA"/>
            </w:rPr>
          </w:pPr>
          <w:r>
            <w:rPr>
              <w:lang w:val="en-CA"/>
            </w:rPr>
            <w:t>II.</w:t>
            <w:tab/>
            <w:t>SCE’S UTILITY RETAINED GENERATION PROPOSAL</w:t>
            <w:tab/>
          </w:r>
          <w:hyperlink w:anchor="__RefHeading___Toc517698383">
            <w:r>
              <w:rPr>
                <w:rStyle w:val="IndexLink"/>
                <w:lang w:val="en-CA"/>
              </w:rPr>
              <w:t>9</w:t>
            </w:r>
          </w:hyperlink>
        </w:p>
        <w:p>
          <w:pPr>
            <w:pStyle w:val="TOC2"/>
            <w:tabs>
              <w:tab w:val="left" w:pos="720" w:leader="none"/>
              <w:tab w:val="right" w:pos="8280" w:leader="dot"/>
              <w:tab w:val="left" w:pos="8712" w:leader="none"/>
            </w:tabs>
            <w:rPr>
              <w:lang w:val="en-CA"/>
            </w:rPr>
          </w:pPr>
          <w:r>
            <w:rPr>
              <w:lang w:val="en-CA"/>
            </w:rPr>
            <w:t>A.</w:t>
            <w:tab/>
            <w:t>Overview Of Existing Generation-Related Ratemaking Mechanisms And Revenue Requirements</w:t>
            <w:tab/>
          </w:r>
          <w:hyperlink w:anchor="__RefHeading___Toc517698384">
            <w:r>
              <w:rPr>
                <w:rStyle w:val="IndexLink"/>
                <w:lang w:val="en-CA"/>
              </w:rPr>
              <w:t>9</w:t>
            </w:r>
          </w:hyperlink>
        </w:p>
        <w:p>
          <w:pPr>
            <w:pStyle w:val="TOC2"/>
            <w:tabs>
              <w:tab w:val="left" w:pos="720" w:leader="none"/>
              <w:tab w:val="right" w:pos="8280" w:leader="dot"/>
              <w:tab w:val="left" w:pos="8712" w:leader="none"/>
            </w:tabs>
            <w:rPr>
              <w:lang w:val="en-CA"/>
            </w:rPr>
          </w:pPr>
          <w:r>
            <w:rPr>
              <w:lang w:val="en-CA"/>
            </w:rPr>
            <w:t>B.</w:t>
            <w:tab/>
            <w:t>Overview Of SCE’s Proposed URG, ISO-Related Charges, and Procurement Cost Recovery Procedures And Estimated Revenue Requirements</w:t>
            <w:tab/>
          </w:r>
          <w:hyperlink w:anchor="__RefHeading___Toc517698385">
            <w:r>
              <w:rPr>
                <w:rStyle w:val="IndexLink"/>
                <w:lang w:val="en-CA"/>
              </w:rPr>
              <w:t>11</w:t>
            </w:r>
          </w:hyperlink>
        </w:p>
        <w:p>
          <w:pPr>
            <w:pStyle w:val="TOC2"/>
            <w:tabs>
              <w:tab w:val="left" w:pos="720" w:leader="none"/>
              <w:tab w:val="right" w:pos="8280" w:leader="dot"/>
              <w:tab w:val="left" w:pos="8712" w:leader="none"/>
            </w:tabs>
            <w:rPr>
              <w:lang w:val="en-CA"/>
            </w:rPr>
          </w:pPr>
          <w:r>
            <w:rPr>
              <w:lang w:val="en-CA"/>
            </w:rPr>
            <w:t>C.</w:t>
            <w:tab/>
            <w:t>Revenue Requirement Forecasts And Balancing Account Mechanisms Needed For The Implementation Of Proposed URG Cost Recovery</w:t>
            <w:tab/>
          </w:r>
          <w:hyperlink w:anchor="__RefHeading___Toc517698386">
            <w:r>
              <w:rPr>
                <w:rStyle w:val="IndexLink"/>
                <w:lang w:val="en-CA"/>
              </w:rPr>
              <w:t>16</w:t>
            </w:r>
          </w:hyperlink>
        </w:p>
        <w:p>
          <w:pPr>
            <w:pStyle w:val="TOC3"/>
            <w:tabs>
              <w:tab w:val="left" w:pos="1440" w:leader="none"/>
              <w:tab w:val="right" w:pos="8280" w:leader="dot"/>
              <w:tab w:val="left" w:pos="8712" w:leader="none"/>
            </w:tabs>
            <w:rPr>
              <w:lang w:val="en-CA"/>
            </w:rPr>
          </w:pPr>
          <w:r>
            <w:rPr>
              <w:lang w:val="en-CA"/>
            </w:rPr>
            <w:t>1.</w:t>
            <w:tab/>
            <w:t>SCE Owned Generation</w:t>
            <w:tab/>
          </w:r>
          <w:hyperlink w:anchor="__RefHeading___Toc517698387">
            <w:r>
              <w:rPr>
                <w:rStyle w:val="IndexLink"/>
                <w:lang w:val="en-CA"/>
              </w:rPr>
              <w:t>16</w:t>
            </w:r>
          </w:hyperlink>
        </w:p>
        <w:p>
          <w:pPr>
            <w:pStyle w:val="TOC3"/>
            <w:tabs>
              <w:tab w:val="left" w:pos="1440" w:leader="none"/>
              <w:tab w:val="right" w:pos="8280" w:leader="dot"/>
              <w:tab w:val="left" w:pos="8712" w:leader="none"/>
            </w:tabs>
            <w:rPr>
              <w:lang w:val="en-CA"/>
            </w:rPr>
          </w:pPr>
          <w:r>
            <w:rPr>
              <w:lang w:val="en-CA"/>
            </w:rPr>
            <w:t>2.</w:t>
            <w:tab/>
            <w:t>SCE Contract Costs</w:t>
            <w:tab/>
          </w:r>
          <w:hyperlink w:anchor="__RefHeading___Toc517698388">
            <w:r>
              <w:rPr>
                <w:rStyle w:val="IndexLink"/>
                <w:lang w:val="en-CA"/>
              </w:rPr>
              <w:t>17</w:t>
            </w:r>
          </w:hyperlink>
        </w:p>
        <w:p>
          <w:pPr>
            <w:pStyle w:val="TOC3"/>
            <w:tabs>
              <w:tab w:val="left" w:pos="1440" w:leader="none"/>
              <w:tab w:val="right" w:pos="8280" w:leader="dot"/>
              <w:tab w:val="left" w:pos="8712" w:leader="none"/>
            </w:tabs>
            <w:rPr>
              <w:lang w:val="en-CA"/>
            </w:rPr>
          </w:pPr>
          <w:r>
            <w:rPr>
              <w:lang w:val="en-CA"/>
            </w:rPr>
            <w:t>3.</w:t>
            <w:tab/>
            <w:t>Procurement Costs</w:t>
            <w:tab/>
          </w:r>
          <w:hyperlink w:anchor="__RefHeading___Toc517698389">
            <w:r>
              <w:rPr>
                <w:rStyle w:val="IndexLink"/>
                <w:lang w:val="en-CA"/>
              </w:rPr>
              <w:t>18</w:t>
            </w:r>
          </w:hyperlink>
        </w:p>
        <w:p>
          <w:pPr>
            <w:pStyle w:val="TOC3"/>
            <w:tabs>
              <w:tab w:val="left" w:pos="1440" w:leader="none"/>
              <w:tab w:val="right" w:pos="8280" w:leader="dot"/>
              <w:tab w:val="left" w:pos="8712" w:leader="none"/>
            </w:tabs>
            <w:rPr>
              <w:lang w:val="en-CA"/>
            </w:rPr>
          </w:pPr>
          <w:r>
            <w:rPr>
              <w:lang w:val="en-CA"/>
            </w:rPr>
            <w:t>4.</w:t>
            <w:tab/>
            <w:t>ISO-Related Charges</w:t>
            <w:tab/>
          </w:r>
          <w:hyperlink w:anchor="__RefHeading___Toc517698390">
            <w:r>
              <w:rPr>
                <w:rStyle w:val="IndexLink"/>
                <w:lang w:val="en-CA"/>
              </w:rPr>
              <w:t>19</w:t>
            </w:r>
          </w:hyperlink>
        </w:p>
        <w:p>
          <w:pPr>
            <w:pStyle w:val="TOC2"/>
            <w:tabs>
              <w:tab w:val="left" w:pos="720" w:leader="none"/>
              <w:tab w:val="right" w:pos="8280" w:leader="dot"/>
              <w:tab w:val="left" w:pos="8712" w:leader="none"/>
            </w:tabs>
            <w:rPr>
              <w:lang w:val="en-CA"/>
            </w:rPr>
          </w:pPr>
          <w:r>
            <w:rPr>
              <w:lang w:val="en-CA"/>
            </w:rPr>
            <w:t>D.</w:t>
            <w:tab/>
            <w:t>Determination Of Generation-Related Dedicated Rate Components</w:t>
            <w:tab/>
          </w:r>
          <w:hyperlink w:anchor="__RefHeading___Toc517698391">
            <w:r>
              <w:rPr>
                <w:rStyle w:val="IndexLink"/>
                <w:lang w:val="en-CA"/>
              </w:rPr>
              <w:t>20</w:t>
            </w:r>
          </w:hyperlink>
        </w:p>
        <w:p>
          <w:pPr>
            <w:pStyle w:val="TOC3"/>
            <w:tabs>
              <w:tab w:val="left" w:pos="1440" w:leader="none"/>
              <w:tab w:val="right" w:pos="8280" w:leader="dot"/>
              <w:tab w:val="left" w:pos="8712" w:leader="none"/>
            </w:tabs>
            <w:rPr>
              <w:lang w:val="en-CA"/>
            </w:rPr>
          </w:pPr>
          <w:r>
            <w:rPr>
              <w:lang w:val="en-CA"/>
            </w:rPr>
            <w:t>1.</w:t>
            <w:tab/>
            <w:t>Generation-Related Dedicated Rate Components During the AB 1890 Rate Freeze Period</w:t>
            <w:tab/>
          </w:r>
          <w:hyperlink w:anchor="__RefHeading___Toc517698392">
            <w:r>
              <w:rPr>
                <w:rStyle w:val="IndexLink"/>
                <w:lang w:val="en-CA"/>
              </w:rPr>
              <w:t>22</w:t>
            </w:r>
          </w:hyperlink>
        </w:p>
        <w:p>
          <w:pPr>
            <w:pStyle w:val="TOC3"/>
            <w:tabs>
              <w:tab w:val="left" w:pos="1440" w:leader="none"/>
              <w:tab w:val="right" w:pos="8280" w:leader="dot"/>
              <w:tab w:val="left" w:pos="8712" w:leader="none"/>
            </w:tabs>
            <w:rPr>
              <w:lang w:val="en-CA"/>
            </w:rPr>
          </w:pPr>
          <w:r>
            <w:rPr>
              <w:lang w:val="en-CA"/>
            </w:rPr>
            <w:t>2.</w:t>
            <w:tab/>
            <w:t>Generation-Related Dedicated Rate Components Post AB 1890 Rate Freeze</w:t>
            <w:tab/>
          </w:r>
          <w:hyperlink w:anchor="__RefHeading___Toc517698393">
            <w:r>
              <w:rPr>
                <w:rStyle w:val="IndexLink"/>
                <w:lang w:val="en-CA"/>
              </w:rPr>
              <w:t>23</w:t>
            </w:r>
          </w:hyperlink>
        </w:p>
        <w:p>
          <w:pPr>
            <w:pStyle w:val="TOC2"/>
            <w:tabs>
              <w:tab w:val="left" w:pos="720" w:leader="none"/>
              <w:tab w:val="right" w:pos="8280" w:leader="dot"/>
              <w:tab w:val="left" w:pos="8712" w:leader="none"/>
            </w:tabs>
            <w:rPr>
              <w:lang w:val="en-CA"/>
            </w:rPr>
          </w:pPr>
          <w:r>
            <w:rPr>
              <w:lang w:val="en-CA"/>
            </w:rPr>
            <w:t>E.</w:t>
            <w:tab/>
            <w:t>Disposition Of Balancing Account Balances</w:t>
            <w:tab/>
          </w:r>
          <w:hyperlink w:anchor="__RefHeading___Toc517698394">
            <w:r>
              <w:rPr>
                <w:rStyle w:val="IndexLink"/>
                <w:lang w:val="en-CA"/>
              </w:rPr>
              <w:t>24</w:t>
            </w:r>
          </w:hyperlink>
        </w:p>
        <w:p>
          <w:pPr>
            <w:pStyle w:val="TOC2"/>
            <w:tabs>
              <w:tab w:val="left" w:pos="720" w:leader="none"/>
              <w:tab w:val="right" w:pos="8280" w:leader="dot"/>
              <w:tab w:val="left" w:pos="8712" w:leader="none"/>
            </w:tabs>
            <w:rPr/>
          </w:pPr>
          <w:r>
            <w:rPr>
              <w:lang w:val="en-CA"/>
            </w:rPr>
            <w:t>F.</w:t>
            <w:tab/>
            <w:t>Financial Importance Of Balancing Account And Trigger Mechanisms For Generation Cost Recovery</w:t>
            <w:tab/>
          </w:r>
          <w:hyperlink w:anchor="__RefHeading___Toc517698395">
            <w:r>
              <w:rPr>
                <w:rStyle w:val="IndexLink"/>
                <w:lang w:val="en-CA"/>
              </w:rPr>
              <w:t>25</w:t>
            </w:r>
          </w:hyperlink>
          <w:r>
            <w:rPr>
              <w:lang w:val="en-CA"/>
            </w:rPr>
            <w:tab/>
            <w:t>M. Simpson</w:t>
          </w:r>
        </w:p>
        <w:p>
          <w:pPr>
            <w:pStyle w:val="TOC3"/>
            <w:tabs>
              <w:tab w:val="left" w:pos="1440" w:leader="none"/>
              <w:tab w:val="right" w:pos="8280" w:leader="dot"/>
              <w:tab w:val="left" w:pos="8712" w:leader="none"/>
            </w:tabs>
            <w:rPr>
              <w:lang w:val="en-CA"/>
            </w:rPr>
          </w:pPr>
          <w:r>
            <w:rPr>
              <w:lang w:val="en-CA"/>
            </w:rPr>
            <w:t>1.</w:t>
            <w:tab/>
            <w:t>Balancing Account Precedents</w:t>
            <w:tab/>
          </w:r>
          <w:hyperlink w:anchor="__RefHeading___Toc517698396">
            <w:r>
              <w:rPr>
                <w:rStyle w:val="IndexLink"/>
                <w:lang w:val="en-CA"/>
              </w:rPr>
              <w:t>26</w:t>
            </w:r>
          </w:hyperlink>
        </w:p>
        <w:p>
          <w:pPr>
            <w:pStyle w:val="TOC3"/>
            <w:tabs>
              <w:tab w:val="left" w:pos="1440" w:leader="none"/>
              <w:tab w:val="right" w:pos="8280" w:leader="dot"/>
              <w:tab w:val="left" w:pos="8712" w:leader="none"/>
            </w:tabs>
            <w:rPr>
              <w:lang w:val="en-CA"/>
            </w:rPr>
          </w:pPr>
          <w:r>
            <w:rPr>
              <w:lang w:val="en-CA"/>
            </w:rPr>
            <w:t>2.</w:t>
            <w:tab/>
            <w:t>Impacts On Creditors</w:t>
            <w:tab/>
          </w:r>
          <w:hyperlink w:anchor="__RefHeading___Toc517698397">
            <w:r>
              <w:rPr>
                <w:rStyle w:val="IndexLink"/>
                <w:lang w:val="en-CA"/>
              </w:rPr>
              <w:t>27</w:t>
            </w:r>
          </w:hyperlink>
        </w:p>
        <w:p>
          <w:pPr>
            <w:pStyle w:val="TOC3"/>
            <w:tabs>
              <w:tab w:val="left" w:pos="1440" w:leader="none"/>
              <w:tab w:val="right" w:pos="8280" w:leader="dot"/>
              <w:tab w:val="left" w:pos="8712" w:leader="none"/>
            </w:tabs>
            <w:rPr>
              <w:lang w:val="en-CA"/>
            </w:rPr>
          </w:pPr>
          <w:r>
            <w:rPr>
              <w:lang w:val="en-CA"/>
            </w:rPr>
            <w:t>3.</w:t>
            <w:tab/>
            <w:t>Impacts On Credit Rating</w:t>
            <w:tab/>
          </w:r>
          <w:hyperlink w:anchor="__RefHeading___Toc517698398">
            <w:r>
              <w:rPr>
                <w:rStyle w:val="IndexLink"/>
                <w:lang w:val="en-CA"/>
              </w:rPr>
              <w:t>27</w:t>
            </w:r>
          </w:hyperlink>
        </w:p>
        <w:p>
          <w:pPr>
            <w:pStyle w:val="TOC1"/>
            <w:tabs>
              <w:tab w:val="left" w:pos="720" w:leader="none"/>
              <w:tab w:val="right" w:pos="8280" w:leader="dot"/>
              <w:tab w:val="left" w:pos="8712" w:leader="none"/>
            </w:tabs>
            <w:rPr/>
          </w:pPr>
          <w:r>
            <w:rPr>
              <w:lang w:val="en-CA"/>
            </w:rPr>
            <w:t>III.</w:t>
            <w:tab/>
            <w:t>SUPPORT FOR SCE’s URG PROPOSAL</w:t>
            <w:tab/>
          </w:r>
          <w:hyperlink w:anchor="__RefHeading___Toc517698399">
            <w:r>
              <w:rPr>
                <w:rStyle w:val="IndexLink"/>
                <w:lang w:val="en-CA"/>
              </w:rPr>
              <w:t>29</w:t>
            </w:r>
          </w:hyperlink>
          <w:r>
            <w:rPr>
              <w:lang w:val="en-CA"/>
            </w:rPr>
            <w:tab/>
          </w:r>
        </w:p>
        <w:p>
          <w:pPr>
            <w:pStyle w:val="TOC3"/>
            <w:tabs>
              <w:tab w:val="left" w:pos="1440" w:leader="none"/>
              <w:tab w:val="right" w:pos="8280" w:leader="dot"/>
              <w:tab w:val="left" w:pos="8712" w:leader="none"/>
            </w:tabs>
            <w:rPr/>
          </w:pPr>
          <w:r>
            <w:rPr>
              <w:lang w:val="en-CA"/>
            </w:rPr>
            <w:t>1.</w:t>
            <w:tab/>
            <w:t>SCE Owned Generation</w:t>
            <w:tab/>
          </w:r>
          <w:hyperlink w:anchor="__RefHeading___Toc517698400">
            <w:r>
              <w:rPr>
                <w:rStyle w:val="IndexLink"/>
                <w:lang w:val="en-CA"/>
              </w:rPr>
              <w:t>29</w:t>
            </w:r>
          </w:hyperlink>
          <w:r>
            <w:rPr>
              <w:lang w:val="en-CA"/>
            </w:rPr>
            <w:tab/>
            <w:t>R. Worden</w:t>
          </w:r>
        </w:p>
        <w:p>
          <w:pPr>
            <w:pStyle w:val="TOC4"/>
            <w:tabs>
              <w:tab w:val="left" w:pos="1440" w:leader="none"/>
              <w:tab w:val="right" w:pos="8280" w:leader="dot"/>
              <w:tab w:val="left" w:pos="8712" w:leader="none"/>
            </w:tabs>
            <w:rPr>
              <w:lang w:val="en-CA"/>
            </w:rPr>
          </w:pPr>
          <w:r>
            <w:rPr>
              <w:lang w:val="en-CA"/>
            </w:rPr>
            <w:t>a)</w:t>
            <w:tab/>
            <w:t>SONGS</w:t>
            <w:tab/>
          </w:r>
          <w:hyperlink w:anchor="__RefHeading___Toc517698401">
            <w:r>
              <w:rPr>
                <w:rStyle w:val="IndexLink"/>
                <w:lang w:val="en-CA"/>
              </w:rPr>
              <w:t>30</w:t>
            </w:r>
          </w:hyperlink>
        </w:p>
        <w:p>
          <w:pPr>
            <w:pStyle w:val="TOC4"/>
            <w:tabs>
              <w:tab w:val="left" w:pos="1440" w:leader="none"/>
              <w:tab w:val="right" w:pos="8280" w:leader="dot"/>
              <w:tab w:val="left" w:pos="8712" w:leader="none"/>
            </w:tabs>
            <w:rPr>
              <w:lang w:val="en-CA"/>
            </w:rPr>
          </w:pPr>
          <w:r>
            <w:rPr>
              <w:lang w:val="en-CA"/>
            </w:rPr>
            <w:t>b)</w:t>
            <w:tab/>
            <w:t>Palo Verde</w:t>
            <w:tab/>
          </w:r>
          <w:hyperlink w:anchor="__RefHeading___Toc517698402">
            <w:r>
              <w:rPr>
                <w:rStyle w:val="IndexLink"/>
                <w:lang w:val="en-CA"/>
              </w:rPr>
              <w:t>31</w:t>
            </w:r>
          </w:hyperlink>
        </w:p>
        <w:p>
          <w:pPr>
            <w:pStyle w:val="TOC4"/>
            <w:tabs>
              <w:tab w:val="left" w:pos="1440" w:leader="none"/>
              <w:tab w:val="right" w:pos="8280" w:leader="dot"/>
              <w:tab w:val="left" w:pos="8712" w:leader="none"/>
            </w:tabs>
            <w:rPr>
              <w:lang w:val="en-CA"/>
            </w:rPr>
          </w:pPr>
          <w:r>
            <w:rPr>
              <w:lang w:val="en-CA"/>
            </w:rPr>
            <w:t>c)</w:t>
            <w:tab/>
            <w:t>Mohave</w:t>
            <w:tab/>
          </w:r>
          <w:hyperlink w:anchor="__RefHeading___Toc517698403">
            <w:r>
              <w:rPr>
                <w:rStyle w:val="IndexLink"/>
                <w:lang w:val="en-CA"/>
              </w:rPr>
              <w:t>31</w:t>
            </w:r>
          </w:hyperlink>
        </w:p>
        <w:p>
          <w:pPr>
            <w:pStyle w:val="TOC4"/>
            <w:tabs>
              <w:tab w:val="left" w:pos="1440" w:leader="none"/>
              <w:tab w:val="right" w:pos="8280" w:leader="dot"/>
              <w:tab w:val="left" w:pos="8712" w:leader="none"/>
            </w:tabs>
            <w:rPr>
              <w:lang w:val="en-CA"/>
            </w:rPr>
          </w:pPr>
          <w:r>
            <w:rPr>
              <w:lang w:val="en-CA"/>
            </w:rPr>
            <w:t>d)</w:t>
            <w:tab/>
            <w:t>Four Corners</w:t>
            <w:tab/>
          </w:r>
          <w:hyperlink w:anchor="__RefHeading___Toc517698404">
            <w:r>
              <w:rPr>
                <w:rStyle w:val="IndexLink"/>
                <w:lang w:val="en-CA"/>
              </w:rPr>
              <w:t>32</w:t>
            </w:r>
          </w:hyperlink>
        </w:p>
        <w:p>
          <w:pPr>
            <w:pStyle w:val="TOC4"/>
            <w:tabs>
              <w:tab w:val="left" w:pos="1440" w:leader="none"/>
              <w:tab w:val="right" w:pos="8280" w:leader="dot"/>
              <w:tab w:val="left" w:pos="8712" w:leader="none"/>
            </w:tabs>
            <w:rPr>
              <w:lang w:val="en-CA"/>
            </w:rPr>
          </w:pPr>
          <w:r>
            <w:rPr>
              <w:lang w:val="en-CA"/>
            </w:rPr>
            <w:t>e)</w:t>
            <w:tab/>
            <w:t>Hydro</w:t>
            <w:tab/>
          </w:r>
          <w:hyperlink w:anchor="__RefHeading___Toc517698405">
            <w:r>
              <w:rPr>
                <w:rStyle w:val="IndexLink"/>
                <w:lang w:val="en-CA"/>
              </w:rPr>
              <w:t>32</w:t>
            </w:r>
          </w:hyperlink>
        </w:p>
        <w:p>
          <w:pPr>
            <w:pStyle w:val="TOC4"/>
            <w:tabs>
              <w:tab w:val="left" w:pos="1440" w:leader="none"/>
              <w:tab w:val="right" w:pos="8280" w:leader="dot"/>
              <w:tab w:val="left" w:pos="8712" w:leader="none"/>
            </w:tabs>
            <w:rPr>
              <w:lang w:val="en-CA"/>
            </w:rPr>
          </w:pPr>
          <w:r>
            <w:rPr>
              <w:lang w:val="en-CA"/>
            </w:rPr>
            <w:t>f)</w:t>
            <w:tab/>
            <w:t>Catalina</w:t>
            <w:tab/>
          </w:r>
          <w:hyperlink w:anchor="__RefHeading___Toc517698406">
            <w:r>
              <w:rPr>
                <w:rStyle w:val="IndexLink"/>
                <w:lang w:val="en-CA"/>
              </w:rPr>
              <w:t>32</w:t>
            </w:r>
          </w:hyperlink>
        </w:p>
        <w:p>
          <w:pPr>
            <w:pStyle w:val="TOC3"/>
            <w:tabs>
              <w:tab w:val="left" w:pos="1440" w:leader="none"/>
              <w:tab w:val="right" w:pos="8280" w:leader="dot"/>
              <w:tab w:val="left" w:pos="8712" w:leader="none"/>
            </w:tabs>
            <w:rPr/>
          </w:pPr>
          <w:r>
            <w:rPr>
              <w:lang w:val="en-CA"/>
            </w:rPr>
            <w:t>2.</w:t>
            <w:tab/>
            <w:t>Qualifying Facility Payments</w:t>
            <w:tab/>
          </w:r>
          <w:hyperlink w:anchor="__RefHeading___Toc517698407">
            <w:r>
              <w:rPr>
                <w:rStyle w:val="IndexLink"/>
                <w:lang w:val="en-CA"/>
              </w:rPr>
              <w:t>33</w:t>
            </w:r>
          </w:hyperlink>
          <w:r>
            <w:rPr>
              <w:lang w:val="en-CA"/>
            </w:rPr>
            <w:tab/>
            <w:t>R. Davis</w:t>
          </w:r>
        </w:p>
        <w:p>
          <w:pPr>
            <w:pStyle w:val="TOC3"/>
            <w:tabs>
              <w:tab w:val="left" w:pos="1440" w:leader="none"/>
              <w:tab w:val="right" w:pos="8280" w:leader="dot"/>
              <w:tab w:val="left" w:pos="8712" w:leader="none"/>
            </w:tabs>
            <w:rPr/>
          </w:pPr>
          <w:r>
            <w:rPr>
              <w:lang w:val="en-CA"/>
            </w:rPr>
            <w:t>3.</w:t>
            <w:tab/>
            <w:t>Bilateral Contracts</w:t>
            <w:tab/>
          </w:r>
          <w:hyperlink w:anchor="__RefHeading___Toc517698408">
            <w:r>
              <w:rPr>
                <w:rStyle w:val="IndexLink"/>
                <w:lang w:val="en-CA"/>
              </w:rPr>
              <w:t>33</w:t>
            </w:r>
          </w:hyperlink>
          <w:r>
            <w:rPr>
              <w:lang w:val="en-CA"/>
            </w:rPr>
            <w:tab/>
            <w:t>C. Cushnie</w:t>
          </w:r>
        </w:p>
        <w:p>
          <w:pPr>
            <w:pStyle w:val="TOC4"/>
            <w:tabs>
              <w:tab w:val="left" w:pos="1440" w:leader="none"/>
              <w:tab w:val="right" w:pos="8280" w:leader="dot"/>
              <w:tab w:val="left" w:pos="8712" w:leader="none"/>
            </w:tabs>
            <w:rPr/>
          </w:pPr>
          <w:r>
            <w:rPr>
              <w:lang w:val="en-CA"/>
            </w:rPr>
            <w:t>a)</w:t>
            <w:tab/>
            <w:t>Interutility Contracts</w:t>
            <w:tab/>
          </w:r>
          <w:hyperlink w:anchor="__RefHeading___Toc517698409">
            <w:r>
              <w:rPr>
                <w:rStyle w:val="IndexLink"/>
                <w:lang w:val="en-CA"/>
              </w:rPr>
              <w:t>33</w:t>
            </w:r>
          </w:hyperlink>
          <w:r>
            <w:rPr>
              <w:lang w:val="en-CA"/>
            </w:rPr>
            <w:tab/>
            <w:t>J. Horswell</w:t>
          </w:r>
        </w:p>
        <w:p>
          <w:pPr>
            <w:pStyle w:val="TOC4"/>
            <w:tabs>
              <w:tab w:val="left" w:pos="1440" w:leader="none"/>
              <w:tab w:val="right" w:pos="8280" w:leader="dot"/>
              <w:tab w:val="left" w:pos="8712" w:leader="none"/>
            </w:tabs>
            <w:rPr/>
          </w:pPr>
          <w:r>
            <w:rPr>
              <w:lang w:val="en-CA"/>
            </w:rPr>
            <w:t>b)</w:t>
            <w:tab/>
            <w:t>Bilateral Forward Contracts</w:t>
            <w:tab/>
          </w:r>
          <w:hyperlink w:anchor="__RefHeading___Toc517698410">
            <w:r>
              <w:rPr>
                <w:rStyle w:val="IndexLink"/>
                <w:lang w:val="en-CA"/>
              </w:rPr>
              <w:t>36</w:t>
            </w:r>
          </w:hyperlink>
          <w:r>
            <w:rPr>
              <w:lang w:val="en-CA"/>
            </w:rPr>
            <w:tab/>
            <w:t>C. Cushnie</w:t>
          </w:r>
        </w:p>
        <w:p>
          <w:pPr>
            <w:pStyle w:val="TOC3"/>
            <w:tabs>
              <w:tab w:val="left" w:pos="1440" w:leader="none"/>
              <w:tab w:val="right" w:pos="8280" w:leader="dot"/>
              <w:tab w:val="left" w:pos="8712" w:leader="none"/>
            </w:tabs>
            <w:rPr/>
          </w:pPr>
          <w:r>
            <w:rPr>
              <w:lang w:val="en-CA"/>
            </w:rPr>
            <w:t>4.</w:t>
            <w:tab/>
            <w:t>Payments Remitted to DWR</w:t>
            <w:tab/>
          </w:r>
          <w:hyperlink w:anchor="__RefHeading___Toc517698411">
            <w:r>
              <w:rPr>
                <w:rStyle w:val="IndexLink"/>
                <w:lang w:val="en-CA"/>
              </w:rPr>
              <w:t>37</w:t>
            </w:r>
          </w:hyperlink>
          <w:r>
            <w:rPr>
              <w:lang w:val="en-CA"/>
            </w:rPr>
            <w:tab/>
            <w:t>C. Dominski</w:t>
          </w:r>
        </w:p>
        <w:p>
          <w:pPr>
            <w:pStyle w:val="TOC3"/>
            <w:tabs>
              <w:tab w:val="left" w:pos="1440" w:leader="none"/>
              <w:tab w:val="right" w:pos="8280" w:leader="dot"/>
              <w:tab w:val="left" w:pos="8712" w:leader="none"/>
            </w:tabs>
            <w:rPr/>
          </w:pPr>
          <w:r>
            <w:rPr>
              <w:lang w:val="en-CA"/>
            </w:rPr>
            <w:t>5.</w:t>
            <w:tab/>
            <w:t>ISO-Related Charges</w:t>
            <w:tab/>
          </w:r>
          <w:hyperlink w:anchor="__RefHeading___Toc517698412">
            <w:r>
              <w:rPr>
                <w:rStyle w:val="IndexLink"/>
                <w:lang w:val="en-CA"/>
              </w:rPr>
              <w:t>38</w:t>
            </w:r>
          </w:hyperlink>
          <w:r>
            <w:rPr>
              <w:lang w:val="en-CA"/>
            </w:rPr>
            <w:tab/>
            <w:t>C. Cushnie</w:t>
          </w:r>
        </w:p>
        <w:p>
          <w:pPr>
            <w:pStyle w:val="TOC4"/>
            <w:tabs>
              <w:tab w:val="left" w:pos="1440" w:leader="none"/>
              <w:tab w:val="right" w:pos="8280" w:leader="dot"/>
              <w:tab w:val="left" w:pos="8712" w:leader="none"/>
            </w:tabs>
            <w:rPr>
              <w:lang w:val="en-CA"/>
            </w:rPr>
          </w:pPr>
          <w:r>
            <w:rPr>
              <w:lang w:val="en-CA"/>
            </w:rPr>
            <w:t>a)</w:t>
            <w:tab/>
            <w:t>Ancillary Services Cost Projection</w:t>
            <w:tab/>
          </w:r>
          <w:hyperlink w:anchor="__RefHeading___Toc517698413">
            <w:r>
              <w:rPr>
                <w:rStyle w:val="IndexLink"/>
                <w:lang w:val="en-CA"/>
              </w:rPr>
              <w:t>39</w:t>
            </w:r>
          </w:hyperlink>
        </w:p>
        <w:p>
          <w:pPr>
            <w:pStyle w:val="TOC4"/>
            <w:tabs>
              <w:tab w:val="left" w:pos="1440" w:leader="none"/>
              <w:tab w:val="right" w:pos="8280" w:leader="dot"/>
              <w:tab w:val="left" w:pos="8712" w:leader="none"/>
            </w:tabs>
            <w:rPr>
              <w:lang w:val="en-CA"/>
            </w:rPr>
          </w:pPr>
          <w:r>
            <w:rPr>
              <w:lang w:val="en-CA"/>
            </w:rPr>
            <w:t>b)</w:t>
            <w:tab/>
            <w:t>ISO “Uplift” Charges</w:t>
            <w:tab/>
          </w:r>
          <w:hyperlink w:anchor="__RefHeading___Toc517698414">
            <w:r>
              <w:rPr>
                <w:rStyle w:val="IndexLink"/>
                <w:lang w:val="en-CA"/>
              </w:rPr>
              <w:t>40</w:t>
            </w:r>
          </w:hyperlink>
        </w:p>
        <w:p>
          <w:pPr>
            <w:pStyle w:val="TOC4"/>
            <w:tabs>
              <w:tab w:val="left" w:pos="1440" w:leader="none"/>
              <w:tab w:val="right" w:pos="8280" w:leader="dot"/>
              <w:tab w:val="left" w:pos="8712" w:leader="none"/>
            </w:tabs>
            <w:rPr>
              <w:lang w:val="en-CA"/>
            </w:rPr>
          </w:pPr>
          <w:r>
            <w:rPr>
              <w:lang w:val="en-CA"/>
            </w:rPr>
            <w:t>c)</w:t>
            <w:tab/>
            <w:t>Allocation Of ISO-Related Charges Between SCE And DWR</w:t>
            <w:tab/>
          </w:r>
          <w:hyperlink w:anchor="__RefHeading___Toc517698415">
            <w:r>
              <w:rPr>
                <w:rStyle w:val="IndexLink"/>
                <w:lang w:val="en-CA"/>
              </w:rPr>
              <w:t>41</w:t>
            </w:r>
          </w:hyperlink>
        </w:p>
        <w:p>
          <w:pPr>
            <w:pStyle w:val="TOC1"/>
            <w:tabs>
              <w:tab w:val="left" w:pos="720" w:leader="none"/>
              <w:tab w:val="right" w:pos="8280" w:leader="dot"/>
              <w:tab w:val="left" w:pos="8712" w:leader="none"/>
            </w:tabs>
            <w:rPr>
              <w:lang w:val="en-CA"/>
            </w:rPr>
          </w:pPr>
          <w:r>
            <w:rPr>
              <w:lang w:val="en-CA"/>
            </w:rPr>
            <w:t>IV.</w:t>
            <w:tab/>
            <w:t>RESPONSES TO PROTESTS AND COMMENTS OF OTHER PARTIES</w:t>
            <w:tab/>
          </w:r>
          <w:hyperlink w:anchor="__RefHeading___Toc517698416">
            <w:r>
              <w:rPr>
                <w:rStyle w:val="IndexLink"/>
                <w:lang w:val="en-CA"/>
              </w:rPr>
              <w:t>44</w:t>
            </w:r>
          </w:hyperlink>
        </w:p>
        <w:p>
          <w:pPr>
            <w:pStyle w:val="TOC2"/>
            <w:tabs>
              <w:tab w:val="left" w:pos="720" w:leader="none"/>
              <w:tab w:val="right" w:pos="8280" w:leader="dot"/>
              <w:tab w:val="left" w:pos="8712" w:leader="none"/>
            </w:tabs>
            <w:rPr/>
          </w:pPr>
          <w:r>
            <w:rPr>
              <w:lang w:val="en-CA"/>
            </w:rPr>
            <w:t>A.</w:t>
            <w:tab/>
            <w:t>TURN And Aglet’s Proposal To Eliminate The SONGS 2&amp;3 ICIP Overturns Existing Commission Decisions And Is Contrary To State Law</w:t>
            <w:tab/>
          </w:r>
          <w:hyperlink w:anchor="__RefHeading___Toc517698417">
            <w:r>
              <w:rPr>
                <w:rStyle w:val="IndexLink"/>
                <w:lang w:val="en-CA"/>
              </w:rPr>
              <w:t>44</w:t>
            </w:r>
          </w:hyperlink>
          <w:r>
            <w:rPr>
              <w:lang w:val="en-CA"/>
            </w:rPr>
            <w:tab/>
            <w:t>R. Worden</w:t>
          </w:r>
        </w:p>
        <w:p>
          <w:pPr>
            <w:pStyle w:val="TOC2"/>
            <w:tabs>
              <w:tab w:val="left" w:pos="720" w:leader="none"/>
              <w:tab w:val="right" w:pos="8280" w:leader="dot"/>
              <w:tab w:val="left" w:pos="8712" w:leader="none"/>
            </w:tabs>
            <w:rPr>
              <w:lang w:val="en-CA"/>
            </w:rPr>
          </w:pPr>
          <w:r>
            <w:rPr>
              <w:lang w:val="en-CA"/>
            </w:rPr>
            <w:t>B.</w:t>
            <w:tab/>
            <w:t>Background On SONGS 2&amp;3 Ratemaking</w:t>
            <w:tab/>
          </w:r>
          <w:hyperlink w:anchor="__RefHeading___Toc517698418">
            <w:r>
              <w:rPr>
                <w:rStyle w:val="IndexLink"/>
                <w:lang w:val="en-CA"/>
              </w:rPr>
              <w:t>44</w:t>
            </w:r>
          </w:hyperlink>
        </w:p>
        <w:p>
          <w:pPr>
            <w:pStyle w:val="TOC2"/>
            <w:tabs>
              <w:tab w:val="left" w:pos="720" w:leader="none"/>
              <w:tab w:val="right" w:pos="8280" w:leader="dot"/>
              <w:tab w:val="left" w:pos="8712" w:leader="none"/>
            </w:tabs>
            <w:rPr>
              <w:lang w:val="en-CA"/>
            </w:rPr>
          </w:pPr>
          <w:r>
            <w:rPr>
              <w:lang w:val="en-CA"/>
            </w:rPr>
            <w:t>C.</w:t>
            <w:tab/>
            <w:t>The SONGS 2&amp;3 ICIP Mechanism Reasonably Compensates Edison For Operational Risks</w:t>
            <w:tab/>
          </w:r>
          <w:hyperlink w:anchor="__RefHeading___Toc517698419">
            <w:r>
              <w:rPr>
                <w:rStyle w:val="IndexLink"/>
                <w:lang w:val="en-CA"/>
              </w:rPr>
              <w:t>46</w:t>
            </w:r>
          </w:hyperlink>
        </w:p>
        <w:p>
          <w:pPr>
            <w:pStyle w:val="TOC2"/>
            <w:tabs>
              <w:tab w:val="left" w:pos="720" w:leader="none"/>
              <w:tab w:val="right" w:pos="8280" w:leader="dot"/>
              <w:tab w:val="left" w:pos="8712" w:leader="none"/>
            </w:tabs>
            <w:rPr>
              <w:lang w:val="en-CA"/>
            </w:rPr>
          </w:pPr>
          <w:r>
            <w:rPr>
              <w:lang w:val="en-CA"/>
            </w:rPr>
            <w:t>D.</w:t>
            <w:tab/>
            <w:t>Effect Of TURN’s Proposal On Ratemaking For SONGS 2&amp;3</w:t>
            <w:tab/>
          </w:r>
          <w:hyperlink w:anchor="__RefHeading___Toc517698420">
            <w:r>
              <w:rPr>
                <w:rStyle w:val="IndexLink"/>
                <w:lang w:val="en-CA"/>
              </w:rPr>
              <w:t>47</w:t>
            </w:r>
          </w:hyperlink>
        </w:p>
        <w:p>
          <w:pPr>
            <w:pStyle w:val="TOC2"/>
            <w:tabs>
              <w:tab w:val="left" w:pos="720" w:leader="none"/>
              <w:tab w:val="right" w:pos="8280" w:leader="dot"/>
              <w:tab w:val="left" w:pos="8712" w:leader="none"/>
            </w:tabs>
            <w:rPr>
              <w:lang w:val="en-CA"/>
            </w:rPr>
          </w:pPr>
          <w:r>
            <w:rPr>
              <w:lang w:val="en-CA"/>
            </w:rPr>
            <w:t>E.</w:t>
            <w:tab/>
            <w:t>Contrary To TURN’s Assertions, The 10-Year Recovery Period For Nuclear Sunk Costs Is Reasonable</w:t>
            <w:tab/>
          </w:r>
          <w:hyperlink w:anchor="__RefHeading___Toc517698421">
            <w:r>
              <w:rPr>
                <w:rStyle w:val="IndexLink"/>
                <w:lang w:val="en-CA"/>
              </w:rPr>
              <w:t>49</w:t>
            </w:r>
          </w:hyperlink>
        </w:p>
        <w:p>
          <w:pPr>
            <w:pStyle w:val="TOC2"/>
            <w:tabs>
              <w:tab w:val="left" w:pos="720" w:leader="none"/>
              <w:tab w:val="right" w:pos="8280" w:leader="dot"/>
              <w:tab w:val="left" w:pos="8712" w:leader="none"/>
            </w:tabs>
            <w:rPr/>
          </w:pPr>
          <w:r>
            <w:rPr>
              <w:lang w:val="en-CA"/>
            </w:rPr>
            <w:t>F.</w:t>
            <w:tab/>
            <w:t>SCE’s Plan Does Not Increase Or Decrease The Risk Of Transition Cost Recovery</w:t>
            <w:tab/>
          </w:r>
          <w:hyperlink w:anchor="__RefHeading___Toc517698422">
            <w:r>
              <w:rPr>
                <w:rStyle w:val="IndexLink"/>
                <w:lang w:val="en-CA"/>
              </w:rPr>
              <w:t>49</w:t>
            </w:r>
          </w:hyperlink>
          <w:r>
            <w:rPr>
              <w:lang w:val="en-CA"/>
            </w:rPr>
            <w:tab/>
            <w:t>C. Dominski</w:t>
          </w:r>
        </w:p>
        <w:p>
          <w:pPr>
            <w:pStyle w:val="TOC2"/>
            <w:tabs>
              <w:tab w:val="left" w:pos="720" w:leader="none"/>
              <w:tab w:val="right" w:pos="8280" w:leader="dot"/>
              <w:tab w:val="left" w:pos="8712" w:leader="none"/>
            </w:tabs>
            <w:rPr>
              <w:lang w:val="en-CA"/>
            </w:rPr>
          </w:pPr>
          <w:r>
            <w:rPr>
              <w:lang w:val="en-CA"/>
            </w:rPr>
            <w:t>G.</w:t>
            <w:tab/>
            <w:t>The Allocation of Revenues Prior to Activation of the Trigger Mechanism is Appropriate</w:t>
            <w:tab/>
          </w:r>
          <w:hyperlink w:anchor="__RefHeading___Toc517698423">
            <w:r>
              <w:rPr>
                <w:rStyle w:val="IndexLink"/>
                <w:lang w:val="en-CA"/>
              </w:rPr>
              <w:t>50</w:t>
            </w:r>
          </w:hyperlink>
        </w:p>
        <w:p>
          <w:pPr>
            <w:pStyle w:val="TOC2"/>
            <w:tabs>
              <w:tab w:val="left" w:pos="720" w:leader="none"/>
              <w:tab w:val="right" w:pos="8280" w:leader="dot"/>
              <w:tab w:val="left" w:pos="8712" w:leader="none"/>
            </w:tabs>
            <w:rPr/>
          </w:pPr>
          <w:r>
            <w:rPr>
              <w:lang w:val="en-CA"/>
            </w:rPr>
            <w:t>H.</w:t>
            <w:tab/>
            <w:t>The Rate of Return on Common Equity for Utility Retained Generation Should Not Be Reduced Below 11.6%</w:t>
            <w:tab/>
          </w:r>
          <w:hyperlink w:anchor="__RefHeading___Toc517698424">
            <w:r>
              <w:rPr>
                <w:rStyle w:val="IndexLink"/>
                <w:lang w:val="en-CA"/>
              </w:rPr>
              <w:t>50</w:t>
            </w:r>
          </w:hyperlink>
          <w:r>
            <w:rPr>
              <w:lang w:val="en-CA"/>
            </w:rPr>
            <w:tab/>
            <w:t>P. Hunt</w:t>
          </w:r>
        </w:p>
        <w:p>
          <w:pPr>
            <w:pStyle w:val="TOC3"/>
            <w:tabs>
              <w:tab w:val="left" w:pos="1440" w:leader="none"/>
              <w:tab w:val="right" w:pos="8280" w:leader="dot"/>
              <w:tab w:val="left" w:pos="8712" w:leader="none"/>
            </w:tabs>
            <w:rPr>
              <w:lang w:val="en-CA"/>
            </w:rPr>
          </w:pPr>
          <w:r>
            <w:rPr>
              <w:lang w:val="en-CA"/>
            </w:rPr>
            <w:t>1.</w:t>
            <w:tab/>
            <w:t>Before Unbundling of SCE’s Generation Commenced, SCE’s Authorized ROE Was 11.6%; That Is The Minimum ROE That The Commission Should Authorize Now, Irrespective Of The MOU</w:t>
            <w:tab/>
          </w:r>
          <w:hyperlink w:anchor="__RefHeading___Toc517698425">
            <w:r>
              <w:rPr>
                <w:rStyle w:val="IndexLink"/>
                <w:lang w:val="en-CA"/>
              </w:rPr>
              <w:t>51</w:t>
            </w:r>
          </w:hyperlink>
        </w:p>
        <w:p>
          <w:pPr>
            <w:pStyle w:val="TOC4"/>
            <w:tabs>
              <w:tab w:val="left" w:pos="1440" w:leader="none"/>
              <w:tab w:val="right" w:pos="8280" w:leader="dot"/>
              <w:tab w:val="left" w:pos="8712" w:leader="none"/>
            </w:tabs>
            <w:rPr>
              <w:lang w:val="en-CA"/>
            </w:rPr>
          </w:pPr>
          <w:r>
            <w:rPr>
              <w:lang w:val="en-CA"/>
            </w:rPr>
            <w:t>a)</w:t>
            <w:tab/>
            <w:t>Further Unbundling of SCE’s Generation Has Been Reversed; SCE Remains An Integrated Utility</w:t>
            <w:tab/>
          </w:r>
          <w:hyperlink w:anchor="__RefHeading___Toc517698426">
            <w:r>
              <w:rPr>
                <w:rStyle w:val="IndexLink"/>
                <w:lang w:val="en-CA"/>
              </w:rPr>
              <w:t>51</w:t>
            </w:r>
          </w:hyperlink>
        </w:p>
        <w:p>
          <w:pPr>
            <w:pStyle w:val="TOC4"/>
            <w:tabs>
              <w:tab w:val="left" w:pos="1440" w:leader="none"/>
              <w:tab w:val="right" w:pos="8280" w:leader="dot"/>
              <w:tab w:val="left" w:pos="8712" w:leader="none"/>
            </w:tabs>
            <w:rPr>
              <w:lang w:val="en-CA"/>
            </w:rPr>
          </w:pPr>
          <w:r>
            <w:rPr>
              <w:lang w:val="en-CA"/>
            </w:rPr>
            <w:t>b)</w:t>
            <w:tab/>
            <w:t>SCE’s Last Cost Of Capital Application As An Integrated Utility Set SCE’s Authorized ROE At 11.6%, Which Is The Minimum That Should Prevail Today</w:t>
            <w:tab/>
          </w:r>
          <w:hyperlink w:anchor="__RefHeading___Toc517698427">
            <w:r>
              <w:rPr>
                <w:rStyle w:val="IndexLink"/>
                <w:lang w:val="en-CA"/>
              </w:rPr>
              <w:t>52</w:t>
            </w:r>
          </w:hyperlink>
        </w:p>
        <w:p>
          <w:pPr>
            <w:pStyle w:val="TOC2"/>
            <w:tabs>
              <w:tab w:val="left" w:pos="720" w:leader="none"/>
              <w:tab w:val="right" w:pos="8280" w:leader="dot"/>
              <w:tab w:val="left" w:pos="8712" w:leader="none"/>
            </w:tabs>
            <w:rPr>
              <w:lang w:val="en-CA"/>
            </w:rPr>
          </w:pPr>
          <w:r>
            <w:rPr>
              <w:lang w:val="en-CA"/>
            </w:rPr>
            <w:t>I.</w:t>
            <w:tab/>
            <w:t>Intervenors’ Previous Arguments Regarding ROE For Utility Retained Generation Should Be Rejected; Any Similar Arguments In Response To This Testimony Should Also Be Rejected</w:t>
            <w:tab/>
          </w:r>
          <w:hyperlink w:anchor="__RefHeading___Toc517698428">
            <w:r>
              <w:rPr>
                <w:rStyle w:val="IndexLink"/>
                <w:lang w:val="en-CA"/>
              </w:rPr>
              <w:t>52</w:t>
            </w:r>
          </w:hyperlink>
        </w:p>
        <w:p>
          <w:pPr>
            <w:pStyle w:val="TOC3"/>
            <w:tabs>
              <w:tab w:val="left" w:pos="1440" w:leader="none"/>
              <w:tab w:val="right" w:pos="8280" w:leader="dot"/>
              <w:tab w:val="left" w:pos="8712" w:leader="none"/>
            </w:tabs>
            <w:rPr>
              <w:lang w:val="en-CA"/>
            </w:rPr>
          </w:pPr>
          <w:r>
            <w:rPr>
              <w:lang w:val="en-CA"/>
            </w:rPr>
            <w:t>1.</w:t>
            <w:tab/>
            <w:t>Even the MOU May Not Reduce SCE’s Business Risk To What It Was Before Electric Restructuring</w:t>
            <w:tab/>
          </w:r>
          <w:hyperlink w:anchor="__RefHeading___Toc517698429">
            <w:r>
              <w:rPr>
                <w:rStyle w:val="IndexLink"/>
                <w:lang w:val="en-CA"/>
              </w:rPr>
              <w:t>53</w:t>
            </w:r>
          </w:hyperlink>
        </w:p>
        <w:p>
          <w:pPr>
            <w:pStyle w:val="TOC3"/>
            <w:tabs>
              <w:tab w:val="left" w:pos="1440" w:leader="none"/>
              <w:tab w:val="right" w:pos="8280" w:leader="dot"/>
              <w:tab w:val="left" w:pos="8712" w:leader="none"/>
            </w:tabs>
            <w:rPr>
              <w:lang w:val="en-CA"/>
            </w:rPr>
          </w:pPr>
          <w:r>
            <w:rPr>
              <w:lang w:val="en-CA"/>
            </w:rPr>
            <w:t>2.</w:t>
            <w:tab/>
            <w:t>Interest Rate Increases Also Justify a Higher ROE</w:t>
            <w:tab/>
          </w:r>
          <w:hyperlink w:anchor="__RefHeading___Toc517698430">
            <w:r>
              <w:rPr>
                <w:rStyle w:val="IndexLink"/>
                <w:lang w:val="en-CA"/>
              </w:rPr>
              <w:t>53</w:t>
            </w:r>
          </w:hyperlink>
        </w:p>
        <w:p>
          <w:pPr>
            <w:pStyle w:val="TOC3"/>
            <w:tabs>
              <w:tab w:val="left" w:pos="1440" w:leader="none"/>
              <w:tab w:val="right" w:pos="8280" w:leader="dot"/>
              <w:tab w:val="left" w:pos="8712" w:leader="none"/>
            </w:tabs>
            <w:rPr>
              <w:lang w:val="en-CA"/>
            </w:rPr>
          </w:pPr>
          <w:r>
            <w:rPr>
              <w:lang w:val="en-CA"/>
            </w:rPr>
            <w:t>3.</w:t>
            <w:tab/>
            <w:t>Burned Once, Investors Will Be Twice Wary, And SCE Will Require A Fair ROE To Attract Them</w:t>
            <w:tab/>
          </w:r>
          <w:hyperlink w:anchor="__RefHeading___Toc517698431">
            <w:r>
              <w:rPr>
                <w:rStyle w:val="IndexLink"/>
                <w:lang w:val="en-CA"/>
              </w:rPr>
              <w:t>54</w:t>
            </w:r>
          </w:hyperlink>
        </w:p>
        <w:p>
          <w:pPr>
            <w:pStyle w:val="TOC3"/>
            <w:tabs>
              <w:tab w:val="left" w:pos="1440" w:leader="none"/>
              <w:tab w:val="right" w:pos="8280" w:leader="dot"/>
              <w:tab w:val="left" w:pos="8712" w:leader="none"/>
            </w:tabs>
            <w:rPr>
              <w:lang w:val="en-CA"/>
            </w:rPr>
          </w:pPr>
          <w:r>
            <w:rPr>
              <w:lang w:val="en-CA"/>
            </w:rPr>
            <w:t>4.</w:t>
            <w:tab/>
            <w:t>The Restoration of Standard Depreciation Lives Removes The Reason For A Reduced Rate Of Return</w:t>
            <w:tab/>
          </w:r>
          <w:hyperlink w:anchor="__RefHeading___Toc517698432">
            <w:r>
              <w:rPr>
                <w:rStyle w:val="IndexLink"/>
                <w:lang w:val="en-CA"/>
              </w:rPr>
              <w:t>55</w:t>
            </w:r>
          </w:hyperlink>
        </w:p>
        <w:p>
          <w:pPr>
            <w:pStyle w:val="TOC3"/>
            <w:tabs>
              <w:tab w:val="left" w:pos="1440" w:leader="none"/>
              <w:tab w:val="right" w:pos="8280" w:leader="dot"/>
              <w:tab w:val="left" w:pos="8712" w:leader="none"/>
            </w:tabs>
            <w:rPr>
              <w:lang w:val="en-CA"/>
            </w:rPr>
          </w:pPr>
          <w:r>
            <w:rPr>
              <w:lang w:val="en-CA"/>
            </w:rPr>
            <w:t>5.</w:t>
            <w:tab/>
            <w:t>The Use Of Balancing Accounts Does Not Warrant A Reduced Rate Of Return</w:t>
            <w:tab/>
          </w:r>
          <w:hyperlink w:anchor="__RefHeading___Toc517698433">
            <w:r>
              <w:rPr>
                <w:rStyle w:val="IndexLink"/>
                <w:lang w:val="en-CA"/>
              </w:rPr>
              <w:t>56</w:t>
            </w:r>
          </w:hyperlink>
        </w:p>
        <w:p>
          <w:pPr>
            <w:pStyle w:val="TOC2"/>
            <w:tabs>
              <w:tab w:val="left" w:pos="720" w:leader="none"/>
              <w:tab w:val="right" w:pos="8280" w:leader="dot"/>
              <w:tab w:val="left" w:pos="8712" w:leader="none"/>
            </w:tabs>
            <w:rPr/>
          </w:pPr>
          <w:r>
            <w:rPr>
              <w:lang w:val="en-CA"/>
            </w:rPr>
            <w:t>J.</w:t>
            <w:tab/>
            <w:t>SCE Does Not Include In Ratebase Any Extraneous Capital Additions</w:t>
            <w:tab/>
          </w:r>
          <w:hyperlink w:anchor="__RefHeading___Toc517698434">
            <w:r>
              <w:rPr>
                <w:rStyle w:val="IndexLink"/>
                <w:lang w:val="en-CA"/>
              </w:rPr>
              <w:t>56</w:t>
            </w:r>
          </w:hyperlink>
          <w:r>
            <w:rPr>
              <w:lang w:val="en-CA"/>
            </w:rPr>
            <w:tab/>
            <w:t>R. Pierce</w:t>
          </w:r>
          <w:r>
            <w:rPr>
              <w:lang w:val="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720" w:gutter="0" w:header="720" w:top="1440" w:footer="720" w:bottom="1440"/>
          <w:lnNumType w:countBy="1" w:restart="newPage" w:distance="283"/>
          <w:pgNumType w:start="1" w:fmt="lowerRoman"/>
          <w:formProt w:val="false"/>
          <w:titlePg/>
          <w:textDirection w:val="lrTb"/>
          <w:docGrid w:type="default" w:linePitch="360" w:charSpace="0"/>
        </w:sectPr>
        <w:pStyle w:val="TOC1"/>
        <w:numPr>
          <w:ilvl w:val="0"/>
          <w:numId w:val="0"/>
        </w:numPr>
        <w:ind w:hanging="720" w:start="720"/>
        <w:rPr>
          <w:lang w:val="en-CA"/>
        </w:rPr>
      </w:pPr>
      <w:r>
        <w:rPr>
          <w:lang w:val="en-CA"/>
        </w:rPr>
      </w:r>
    </w:p>
    <w:p>
      <w:pPr>
        <w:pStyle w:val="Heading1"/>
        <w:numPr>
          <w:ilvl w:val="0"/>
          <w:numId w:val="2"/>
        </w:numPr>
        <w:rPr/>
      </w:pPr>
      <w:r>
        <w:rPr/>
        <w:br/>
      </w:r>
      <w:bookmarkStart w:id="1" w:name="__RefHeading___Toc517698376"/>
      <w:r>
        <w:rPr/>
        <w:t>BACKGROUND OF SOUTHERN CALIFORNIA EDISON’S UTILITY RETAINED GENERATION PROPOSAL</w:t>
      </w:r>
      <w:bookmarkEnd w:id="1"/>
    </w:p>
    <w:p>
      <w:pPr>
        <w:pStyle w:val="Heading1Text"/>
        <w:rPr/>
      </w:pPr>
      <w:r>
        <w:rPr/>
        <w:t xml:space="preserve">The testimony included in this exhibit is filed in response to the Chief Administrative Law Judge’s Ruling of June 15, 2001 (Ruling.)  This Chapter of testimony discusses the recent history of Southern California Edison (SCE) and Commission ratemaking proposals for Utility Retained Generation (URG).  While a complete URG proposal is set forth in Chapter II, the testimony in this Chapter provides a background of events leading up to the Ruling which may clarify the testimony in Chapters II and III. </w:t>
      </w:r>
    </w:p>
    <w:p>
      <w:pPr>
        <w:pStyle w:val="Heading2"/>
        <w:numPr>
          <w:ilvl w:val="1"/>
          <w:numId w:val="2"/>
        </w:numPr>
        <w:ind w:hanging="0" w:start="0"/>
        <w:rPr/>
      </w:pPr>
      <w:bookmarkStart w:id="2" w:name="__RefHeading___Toc517698377"/>
      <w:r>
        <w:rPr/>
        <w:t>Decision 01-01-061 and Advice Letter 1521-E</w:t>
      </w:r>
      <w:bookmarkEnd w:id="2"/>
      <w:r>
        <w:rPr/>
        <w:t xml:space="preserve"> </w:t>
      </w:r>
    </w:p>
    <w:p>
      <w:pPr>
        <w:pStyle w:val="Heading2Text"/>
        <w:rPr/>
      </w:pPr>
      <w:r>
        <w:rPr/>
        <w:t>The Ruling claims to be based on SCE’s Advice Letter (AL) 1521-E, but SCE’s most recent and comprehensive URG proposal is actually set forth in AL 1534</w:t>
        <w:noBreakHyphen/>
        <w:t xml:space="preserve">E-A, described below.  SCE is presenting an updated proposal in Chapter II of this testimony.  </w:t>
      </w:r>
    </w:p>
    <w:p>
      <w:pPr>
        <w:pStyle w:val="Heading2Text"/>
        <w:rPr/>
      </w:pPr>
      <w:r>
        <w:rPr/>
        <w:t xml:space="preserve">Decision 01-01-061 required SCE to establish a cost-based rate for its retained generation resources using estimated operating expenses of its retained generation as well as a capital-related revenue requirement based upon amounts recorded in SCE’s Transition Cost Balancing Account (TCBA).  The Decision noted that the URG rate would be subject to adjustment in a future phase of A. 00-11-038, the Rate Stabilization Proceeding (RSP).  </w:t>
      </w:r>
    </w:p>
    <w:p>
      <w:pPr>
        <w:pStyle w:val="Heading2Text"/>
        <w:rPr/>
      </w:pPr>
      <w:r>
        <w:rPr/>
        <w:t>AL 1521-E was filed on March 2, 2001, and was made in compliance with Decision 01-01-061.</w:t>
      </w:r>
      <w:r>
        <w:rPr>
          <w:rStyle w:val="FootnoteCharacters"/>
          <w:rStyle w:val="FootnoteReference"/>
        </w:rPr>
        <w:footnoteReference w:id="2"/>
      </w:r>
      <w:r>
        <w:rPr/>
        <w:t xml:space="preserve">  AL 1521-E sought to comply with Decision 01-01-061 by establishing the Rate of Return Memorandum Account (RORMA) and developing the revenue requirement associated with a cost-based URG.</w:t>
      </w:r>
      <w:r>
        <w:rPr>
          <w:rStyle w:val="FootnoteCharacters"/>
          <w:rStyle w:val="FootnoteReference"/>
        </w:rPr>
        <w:footnoteReference w:id="3"/>
      </w:r>
      <w:r>
        <w:rPr/>
        <w:t xml:space="preserve">  The advice letter noted, however, that the Commission would be taking up the issues of the revenue requirement proposed by DWR and the California Procurement Adjustment (CPA) in another phase of the RSP.  Thus, the proposal set forth in AL 1521-E was contemplated to apply for the period between January 19, 2001, when the Power Exchange (PX) ceased operation, and January 31, 2001, the day prior to the effective date of the CPA mechanism.</w:t>
      </w:r>
    </w:p>
    <w:p>
      <w:pPr>
        <w:pStyle w:val="Heading2Text"/>
        <w:rPr/>
      </w:pPr>
      <w:r>
        <w:rPr/>
        <w:t xml:space="preserve">Both the Office of Ratepayer Advocates (ORA) and The Utility Reform Network (TURN) protested AL 1521-E.  ORA protested the accelerated depreciation schedule that was applied to nuclear plants – an approach different from the one SCE used to develop its CPA tariffs.  TURN’s protest urged the Commission to reject the advice letter for two reasons: (1) AL 1521-E purportedly treats URG as encompassing only the plants which SCE owns; and (2) SCE treats its SONGS Incremental Cost Incentive Pricing (ICIP) mechanism as setting the cost of operating that plant.  </w:t>
      </w:r>
    </w:p>
    <w:p>
      <w:pPr>
        <w:pStyle w:val="Heading2Text"/>
        <w:rPr/>
      </w:pPr>
      <w:r>
        <w:rPr/>
        <w:t>In a response to the protests dated March 29, 2001, SCE agreed with ORA’s position and contested each of the issues raised by TURN.  At present, the first issue raised by TURN – that AL 1521-E fails to address Qualifying Facilities (QF) and bilateral contract generation as URG – is moot.  The proposal made by SCE in AL 1534</w:t>
        <w:noBreakHyphen/>
        <w:t>E-A addressed all components of URG and the proposal set forth in Chapter II below does as well.  There can be no complaint that SCE is now excluding any portion of what can fairly be described as URG.  As for the second issue raised by TURN – the ICIP pricing mechanism issue – a full response is set forth in Chapter III of this testimony.  SCE adds, however, that the ICIP issue is addressed in the April 9, 2001 Memorandum of Understanding (MOU) among SCE, Edison International, and the State of California Department of Water Resources (DWR) as well as statute.  See, Public Utilities Code Section 367(a)(4).</w:t>
      </w:r>
    </w:p>
    <w:p>
      <w:pPr>
        <w:pStyle w:val="Heading2Text"/>
        <w:rPr/>
      </w:pPr>
      <w:r>
        <w:rPr/>
      </w:r>
    </w:p>
    <w:p>
      <w:pPr>
        <w:pStyle w:val="Heading2"/>
        <w:numPr>
          <w:ilvl w:val="1"/>
          <w:numId w:val="2"/>
        </w:numPr>
        <w:ind w:hanging="0" w:start="0"/>
        <w:rPr/>
      </w:pPr>
      <w:bookmarkStart w:id="3" w:name="__RefHeading___Toc517698378"/>
      <w:r>
        <w:rPr/>
        <w:t>Decision 01-03-082 And Advice Letter 1528-E</w:t>
      </w:r>
      <w:bookmarkEnd w:id="3"/>
      <w:r>
        <w:rPr/>
        <w:t xml:space="preserve"> </w:t>
      </w:r>
    </w:p>
    <w:p>
      <w:pPr>
        <w:pStyle w:val="Heading2Text"/>
        <w:rPr/>
      </w:pPr>
      <w:r>
        <w:rPr/>
        <w:t>On March 27, 2001, the Commission issued Decision 01-03-082.  Among other things, the Decision authorized SCE to add a three-cent per kilowatt-hour (kWh) surcharge to its current rates.  Decision 01-03-082 also made permanent the one-cent per kWh “temporary” surcharge which the Commission had approved on January 4, 2001.</w:t>
      </w:r>
      <w:r>
        <w:rPr>
          <w:rStyle w:val="FootnoteCharacters"/>
          <w:rStyle w:val="FootnoteReference"/>
        </w:rPr>
        <w:footnoteReference w:id="4"/>
      </w:r>
      <w:r>
        <w:rPr/>
        <w:t xml:space="preserve">  The Decision ordered SCE to record the revenues from the rate increase into balancing accounts, subject to refund if SCE did not need to use the funds to pay for power purchases.</w:t>
      </w:r>
    </w:p>
    <w:p>
      <w:pPr>
        <w:pStyle w:val="Heading2Text"/>
        <w:rPr/>
      </w:pPr>
      <w:r>
        <w:rPr/>
        <w:t xml:space="preserve">In response to Decision 01-03-082, on April 2, 2001, SCE filed AL 1528-E, which proposed the Procurement Energy Surcharge Balancing Account (PESBA), a mechanism for tracking the revenues from the three-cent and one-cent rate increases.  To correct a technical error in the initial advice letter, on April 26, 2001, SCE filed AL 1528-E-A to supplement and replace AL 1528-E.  </w:t>
      </w:r>
    </w:p>
    <w:p>
      <w:pPr>
        <w:pStyle w:val="Heading2Text"/>
        <w:rPr/>
      </w:pPr>
      <w:r>
        <w:rPr/>
        <w:t>Before the Energy Division could address AL 1528-E or its supplement, there were significant events on the URG front.  As explained below, on April 9, 2001, the MOU was signed and SCE filed AL 1534-E-A, which sets forth a complete URG proposal.  On May 4, 2001, the Commission’s Energy Division asserted in a letter that AL 1528-E-A had improperly separated the cost and revenue sides of energy purchases.  Although the Energy Division’s concerns had been obviated by AL 1534-E-A, in order to address the specific criticism of AL 1528</w:t>
        <w:noBreakHyphen/>
        <w:t>E</w:t>
        <w:noBreakHyphen/>
        <w:t xml:space="preserve">A, SCE modified AL 1528-E-A and replaced it with AL 1528-E-B.  </w:t>
      </w:r>
    </w:p>
    <w:p>
      <w:pPr>
        <w:pStyle w:val="Heading2Text"/>
        <w:rPr/>
      </w:pPr>
      <w:r>
        <w:rPr/>
        <w:t xml:space="preserve">To comply with the Energy Division’s requirement for the establishment of a stand-alone balancing account to track surcharge revenues and purchased power costs, SCE proposed in AL 1528-E-B the Purchased Power Balancing Account (PPBA).  The PPBA will record monthly revenues associated with both the one-cent and three-cent per kWh surcharges and all future purchased power costs (including, but not limited to, payments to DWR, payments on QF obligations and payments to the Independent System Operator (ISO) for ancillary services and other ISO-related costs.)  </w:t>
      </w:r>
      <w:r>
        <w:rPr>
          <w:u w:val="single"/>
        </w:rPr>
        <w:t>SCE proposed that the PPBA be effective only until SCE’s proposal in AL 1534-E-A is adopted</w:t>
      </w:r>
      <w:r>
        <w:rPr/>
        <w:t>.</w:t>
      </w:r>
    </w:p>
    <w:p>
      <w:pPr>
        <w:pStyle w:val="Heading2Text"/>
        <w:rPr/>
      </w:pPr>
      <w:r>
        <w:rPr/>
        <w:t xml:space="preserve">ORA was the only party to protest AL 1528-E-B.  ORA was concerned that SCE pay for ongoing purchases before paying down past transition costs and proposed certain ratemaking changes it believed to be in compliance with D. 01-03-082.  ORA admitted, however, that AL 1534-E-A accomplishes this objective.  </w:t>
      </w:r>
    </w:p>
    <w:p>
      <w:pPr>
        <w:pStyle w:val="Normal"/>
        <w:rPr>
          <w:b/>
        </w:rPr>
      </w:pPr>
      <w:r>
        <w:rPr>
          <w:b/>
        </w:rPr>
      </w:r>
    </w:p>
    <w:p>
      <w:pPr>
        <w:pStyle w:val="Heading2"/>
        <w:numPr>
          <w:ilvl w:val="1"/>
          <w:numId w:val="2"/>
        </w:numPr>
        <w:ind w:hanging="0" w:start="0"/>
        <w:rPr/>
      </w:pPr>
      <w:bookmarkStart w:id="4" w:name="__RefHeading___Toc517698379"/>
      <w:bookmarkEnd w:id="4"/>
      <w:r>
        <w:rPr/>
        <w:t>Memorandum of Understanding and Its Effect on URG</w:t>
      </w:r>
    </w:p>
    <w:p>
      <w:pPr>
        <w:pStyle w:val="Heading2Text"/>
        <w:rPr/>
      </w:pPr>
      <w:r>
        <w:rPr/>
        <w:t xml:space="preserve">It is no secret that the “energy crisis” of the last year has pushed SCE to the verge of bankruptcy.  In order to forestall that event, on April 9, 2001, Edison International, and the DWR entered into an MOU with the intent of restoring SCE’s financial integrity, while “keeping California’s lights on.”  </w:t>
      </w:r>
    </w:p>
    <w:p>
      <w:pPr>
        <w:pStyle w:val="Heading2Text"/>
        <w:rPr/>
      </w:pPr>
      <w:r>
        <w:rPr/>
        <w:t>An important part of the MOU is a set of ratemaking guidelines for URG, which  are set forth in Section 3 of the MOU.  These guidelines support, among other things, the principles that:</w:t>
      </w:r>
    </w:p>
    <w:p>
      <w:pPr>
        <w:pStyle w:val="Heading2Text"/>
        <w:numPr>
          <w:ilvl w:val="0"/>
          <w:numId w:val="8"/>
        </w:numPr>
        <w:tabs>
          <w:tab w:val="clear" w:pos="360"/>
          <w:tab w:val="left" w:pos="1440" w:leader="none"/>
        </w:tabs>
        <w:ind w:hanging="360" w:start="1080" w:end="0"/>
        <w:rPr/>
      </w:pPr>
      <w:r>
        <w:rPr/>
        <w:t>SCE must collect revenues sufficient to cover its costs;</w:t>
      </w:r>
    </w:p>
    <w:p>
      <w:pPr>
        <w:pStyle w:val="Heading2Text"/>
        <w:numPr>
          <w:ilvl w:val="0"/>
          <w:numId w:val="10"/>
        </w:numPr>
        <w:tabs>
          <w:tab w:val="clear" w:pos="360"/>
          <w:tab w:val="left" w:pos="1440" w:leader="none"/>
        </w:tabs>
        <w:ind w:hanging="720" w:start="1440" w:end="0"/>
        <w:rPr/>
      </w:pPr>
      <w:r>
        <w:rPr/>
        <w:t>SCE must recover all reasonably recorded capital-related costs and reasonable and prudent capital investments in service after December 31, 2000;</w:t>
      </w:r>
    </w:p>
    <w:p>
      <w:pPr>
        <w:pStyle w:val="Heading2Text"/>
        <w:numPr>
          <w:ilvl w:val="0"/>
          <w:numId w:val="10"/>
        </w:numPr>
        <w:tabs>
          <w:tab w:val="clear" w:pos="360"/>
          <w:tab w:val="left" w:pos="1440" w:leader="none"/>
        </w:tabs>
        <w:ind w:hanging="360" w:start="1080" w:end="0"/>
        <w:rPr/>
      </w:pPr>
      <w:r>
        <w:rPr/>
        <w:t>ICIP must be continued for SONGS 2 and 3;</w:t>
      </w:r>
    </w:p>
    <w:p>
      <w:pPr>
        <w:pStyle w:val="Heading2Text"/>
        <w:numPr>
          <w:ilvl w:val="0"/>
          <w:numId w:val="4"/>
        </w:numPr>
        <w:tabs>
          <w:tab w:val="clear" w:pos="360"/>
          <w:tab w:val="left" w:pos="1440" w:leader="none"/>
        </w:tabs>
        <w:ind w:hanging="720" w:start="1440" w:end="0"/>
        <w:rPr/>
      </w:pPr>
      <w:r>
        <w:rPr/>
        <w:t>Elimination of the sharing mechanism for SONGS 2 and 3 and PVNGS through December 31, 2010.</w:t>
      </w:r>
    </w:p>
    <w:p>
      <w:pPr>
        <w:pStyle w:val="Heading2Text"/>
        <w:rPr/>
      </w:pPr>
      <w:r>
        <w:rPr/>
        <w:t>SCE strongly believes the MOU provides the best path to restoring SCE’s creditworthiness and is an important “first step” in resolving some of the problems resulting from Assembly Bill (AB) 1890.  SCE intends to work with the Commission to implement all regulatory provisions of the MOU, including those provisions which relate to the regulation of URG.</w:t>
      </w:r>
    </w:p>
    <w:p>
      <w:pPr>
        <w:pStyle w:val="Normal"/>
        <w:rPr>
          <w:b/>
        </w:rPr>
      </w:pPr>
      <w:r>
        <w:rPr>
          <w:b/>
        </w:rPr>
      </w:r>
    </w:p>
    <w:p>
      <w:pPr>
        <w:pStyle w:val="Heading2"/>
        <w:numPr>
          <w:ilvl w:val="1"/>
          <w:numId w:val="2"/>
        </w:numPr>
        <w:ind w:hanging="0" w:start="0"/>
        <w:rPr/>
      </w:pPr>
      <w:bookmarkStart w:id="5" w:name="__RefHeading___Toc517698380"/>
      <w:bookmarkEnd w:id="5"/>
      <w:r>
        <w:rPr/>
        <w:t>Advice Letter 1534-E-A</w:t>
      </w:r>
    </w:p>
    <w:p>
      <w:pPr>
        <w:pStyle w:val="Heading2Text"/>
        <w:rPr/>
      </w:pPr>
      <w:r>
        <w:rPr/>
        <w:t>In order to implement two Commission decisions (D. 01-03-081 and D. 01-03-082) and start the process of implementing the MOU, SCE filed AL 1534-E-A.</w:t>
      </w:r>
      <w:r>
        <w:rPr>
          <w:rStyle w:val="FootnoteCharacters"/>
          <w:rStyle w:val="FootnoteReference"/>
        </w:rPr>
        <w:footnoteReference w:id="5"/>
      </w:r>
      <w:r>
        <w:rPr/>
        <w:t xml:space="preserve">  AL 1534-E-A proposed new ratemaking for URG.  The plan would have created four new balancing accounts, and each balancing account would have its own rate component.  In the interim, because the Commission has ruled that the rate freeze is still in place, the rate components associated with the various balancing accounts would not exceed the generation component of SCE’s rates.  </w:t>
      </w:r>
    </w:p>
    <w:p>
      <w:pPr>
        <w:pStyle w:val="Heading2Text"/>
        <w:rPr/>
      </w:pPr>
      <w:r>
        <w:rPr/>
        <w:t xml:space="preserve">To ensure that any overcollection or undercollection of the costs recorded in the four balancing accounts would be reconciled on a timely basis, SCE proposed an annual rate true-up mechanism and a trigger mechanism.  This ratemaking mechanism, or the one proposed in Chapter II, is necessary to help SCE return to an investment grade credit rating consistent with the State’s goal by preventing significant undercollection of SCE’s URG and power procurement costs. </w:t>
      </w:r>
    </w:p>
    <w:p>
      <w:pPr>
        <w:pStyle w:val="Heading2Text"/>
        <w:rPr/>
      </w:pPr>
      <w:r>
        <w:rPr/>
        <w:t>An updated and revised version of the comprehensive proposal set forth in the AL 1534-E-A and described above is set forth in Chapter II.</w:t>
      </w:r>
    </w:p>
    <w:p>
      <w:pPr>
        <w:pStyle w:val="Heading2Text"/>
        <w:rPr/>
      </w:pPr>
      <w:r>
        <w:rPr/>
        <w:t>ORA was the only party to protest AL 1534-E-A.</w:t>
      </w:r>
      <w:r>
        <w:rPr>
          <w:rStyle w:val="FootnoteCharacters"/>
          <w:rStyle w:val="FootnoteReference"/>
        </w:rPr>
        <w:footnoteReference w:id="6"/>
      </w:r>
      <w:r>
        <w:rPr/>
        <w:t xml:space="preserve">  ORA claimed that AL 1534-E-A (1) eliminated SCE’s risk of recovery of certain transition costs by moving debit entries from the TCBA to the TRA; (2) questioned the allocation of revenues prior to activation of a trigger mechanism, asking whether it could cause SCE to stop paying QFs; and (3) questioned SCE’s ability to make major rate changes through an advice letter.  In response to the first issue, SCE explained that while SCE moved TCBA debit entries to the TRA, it also moved credit entries – representing transition revenue – to the TRA.  These changes were proposed because SCE had also proposed, in AL 1534-E-A, to eliminate the TCBA altogether.  In order to meet ORA’s objection, SCE proposed that certain expenses that were incurred prior to January 31, 2001 be entered into the account proposed in AL 1534-E-A to track the past net undercollected amount, and employee transition costs, for which SCE is not at risk of recovery, be entered into the TRA.  In response to the second issue, SCE explained that SCE is required to pay QFs every fifteen days and intends to do so.  As for the issue of whether major rate changes can or cannot be implemented by advice letter, SCE stated that it is willing to work with ORA in coming to an agreeable resolution of ORA’s concerns.</w:t>
      </w:r>
    </w:p>
    <w:p>
      <w:pPr>
        <w:pStyle w:val="Heading2Text"/>
        <w:rPr/>
      </w:pPr>
      <w:r>
        <w:rPr/>
      </w:r>
    </w:p>
    <w:p>
      <w:pPr>
        <w:pStyle w:val="Heading2"/>
        <w:numPr>
          <w:ilvl w:val="1"/>
          <w:numId w:val="2"/>
        </w:numPr>
        <w:ind w:hanging="0" w:start="0"/>
        <w:rPr/>
      </w:pPr>
      <w:bookmarkStart w:id="6" w:name="__RefHeading___Toc517698381"/>
      <w:bookmarkEnd w:id="6"/>
      <w:r>
        <w:rPr/>
        <w:t>Joint Ruling of Commissioner and ALJ</w:t>
      </w:r>
    </w:p>
    <w:p>
      <w:pPr>
        <w:pStyle w:val="Heading2Text"/>
        <w:rPr/>
      </w:pPr>
      <w:r>
        <w:rPr/>
        <w:t>On April 27, 2001, President Lynch and ALJ De Ulloa issued the Joint Assigned Commissioner’s and Administrative Law Judge’s Ruling Regarding Southern California Edison Company’s Utility Retained Generation, issued April 27, 2001, (Joint Ruling.)  The Joint Ruling sought comments on the following ratemaking guidelines:</w:t>
      </w:r>
    </w:p>
    <w:p>
      <w:pPr>
        <w:pStyle w:val="Quote1"/>
        <w:numPr>
          <w:ilvl w:val="0"/>
          <w:numId w:val="11"/>
        </w:numPr>
        <w:ind w:hanging="360" w:start="720" w:end="360"/>
        <w:rPr/>
      </w:pPr>
      <w:r>
        <w:rPr/>
        <w:t>Cost-of-service ratemaking for retained generation assets would follow the model adopted by the Commission in D.01-01-061.  URG would be placed into rate base at net book value as of December 31, 2000.  No estimated market value would be allowed for hydroelectric facilities.</w:t>
      </w:r>
    </w:p>
    <w:p>
      <w:pPr>
        <w:pStyle w:val="Quote1"/>
        <w:numPr>
          <w:ilvl w:val="0"/>
          <w:numId w:val="11"/>
        </w:numPr>
        <w:tabs>
          <w:tab w:val="clear" w:pos="360"/>
          <w:tab w:val="left" w:pos="720" w:leader="none"/>
        </w:tabs>
        <w:ind w:hanging="360" w:start="720" w:end="360"/>
        <w:rPr/>
      </w:pPr>
      <w:r>
        <w:rPr/>
        <w:t>The rate of return would be at Edison’s current level of 11.6% and Edison’s current capital structure.</w:t>
      </w:r>
    </w:p>
    <w:p>
      <w:pPr>
        <w:pStyle w:val="Quote1"/>
        <w:numPr>
          <w:ilvl w:val="0"/>
          <w:numId w:val="11"/>
        </w:numPr>
        <w:tabs>
          <w:tab w:val="clear" w:pos="360"/>
          <w:tab w:val="left" w:pos="720" w:leader="none"/>
        </w:tabs>
        <w:ind w:hanging="360" w:start="720" w:end="360"/>
        <w:rPr/>
      </w:pPr>
      <w:r>
        <w:rPr/>
        <w:t>Depreciation for non-nuclear facilities would be calculated according to the schedules adopted in Edison’s most recent GRC decision.  Depreciation for nuclear facilities would be determined by amortizing capital costs not covered by the ICIP mechanism over the remaining useful life of the nuclear facilities.  Operating costs and capital additions for SONGS through 2003 will be recovered via the ICIP mechanism as required in P.U. Code Section 367.</w:t>
      </w:r>
    </w:p>
    <w:p>
      <w:pPr>
        <w:pStyle w:val="Quote1"/>
        <w:numPr>
          <w:ilvl w:val="0"/>
          <w:numId w:val="11"/>
        </w:numPr>
        <w:tabs>
          <w:tab w:val="clear" w:pos="360"/>
          <w:tab w:val="left" w:pos="720" w:leader="none"/>
        </w:tabs>
        <w:ind w:hanging="360" w:start="720" w:end="360"/>
        <w:rPr/>
      </w:pPr>
      <w:r>
        <w:rPr/>
        <w:t>Taxes would be computed for Edison on the basis of actual costs.</w:t>
      </w:r>
    </w:p>
    <w:p>
      <w:pPr>
        <w:pStyle w:val="Quote1"/>
        <w:numPr>
          <w:ilvl w:val="0"/>
          <w:numId w:val="11"/>
        </w:numPr>
        <w:tabs>
          <w:tab w:val="clear" w:pos="360"/>
          <w:tab w:val="left" w:pos="720" w:leader="none"/>
        </w:tabs>
        <w:ind w:hanging="360" w:start="720" w:end="360"/>
        <w:rPr/>
      </w:pPr>
      <w:r>
        <w:rPr/>
        <w:t>Expenses (operating and maintenance (O&amp;M), administrative and general, etc.) would be based on generation expenses determined in D.97-08-056 and would be escalated by the Consumer Price Index (CPI).</w:t>
      </w:r>
    </w:p>
    <w:p>
      <w:pPr>
        <w:pStyle w:val="Quote1"/>
        <w:numPr>
          <w:ilvl w:val="0"/>
          <w:numId w:val="11"/>
        </w:numPr>
        <w:tabs>
          <w:tab w:val="clear" w:pos="360"/>
          <w:tab w:val="left" w:pos="720" w:leader="none"/>
        </w:tabs>
        <w:ind w:hanging="360" w:start="720" w:end="360"/>
        <w:rPr/>
      </w:pPr>
      <w:r>
        <w:rPr/>
        <w:t>Approximately $130 million in capital additions would be placed in rate base temporarily until a decision is rendered on these issues if Edison can justify the source and nature of these costs in its comments.</w:t>
      </w:r>
    </w:p>
    <w:p>
      <w:pPr>
        <w:pStyle w:val="Quote1"/>
        <w:numPr>
          <w:ilvl w:val="0"/>
          <w:numId w:val="11"/>
        </w:numPr>
        <w:tabs>
          <w:tab w:val="clear" w:pos="360"/>
          <w:tab w:val="left" w:pos="720" w:leader="none"/>
        </w:tabs>
        <w:ind w:hanging="360" w:start="720" w:end="360"/>
        <w:rPr/>
      </w:pPr>
      <w:r>
        <w:rPr/>
        <w:t>Fuel costs, scheduling and dispatch costs, congestion costs, ancillary service costs, and other transmission-related costs charged to generators and revenues would be entered into a balancing account for future recovery.</w:t>
      </w:r>
    </w:p>
    <w:p>
      <w:pPr>
        <w:pStyle w:val="Quote1"/>
        <w:numPr>
          <w:ilvl w:val="0"/>
          <w:numId w:val="11"/>
        </w:numPr>
        <w:tabs>
          <w:tab w:val="clear" w:pos="360"/>
          <w:tab w:val="left" w:pos="720" w:leader="none"/>
        </w:tabs>
        <w:ind w:hanging="360" w:start="720" w:end="360"/>
        <w:rPr/>
      </w:pPr>
      <w:r>
        <w:rPr/>
        <w:t>Rates for Palo Verde Nuclear Generation Station (PVNGS) after 2001 and Units 2 and 3 of the San Onofre Nuclear Generating Station (SONGS) after 2003 would be set according to costs as set forth in Item 1.</w:t>
      </w:r>
    </w:p>
    <w:p>
      <w:pPr>
        <w:pStyle w:val="Heading2Text"/>
        <w:rPr/>
      </w:pPr>
      <w:r>
        <w:rPr/>
        <w:t xml:space="preserve">On May 4, 2001, SCE filed comprehensive comments on the Joint Ruling.  On May 11, 2001, Aglet Consumer Alliance (Aglet), CE Generation (CEG), Independent Energy Producers Association (IEP), Cogeneration Association of California and The Energy Producers and Users Coalition (CAC/EPUC), ORA, Pacific Gas and Electric Company (PG&amp;E) and TURN filed comments.  SCE replied to these comments on May 14, 2001.  </w:t>
      </w:r>
    </w:p>
    <w:p>
      <w:pPr>
        <w:pStyle w:val="Heading2Text"/>
        <w:rPr/>
      </w:pPr>
      <w:r>
        <w:rPr/>
        <w:t>SCE requests that its comments and reply comments on the Joint Ruling be made a part of this record.  Several of the issues raised by parties filing comments are reiterated and addressed in Chapter III below.</w:t>
      </w:r>
    </w:p>
    <w:p>
      <w:pPr>
        <w:pStyle w:val="Heading2Text"/>
        <w:rPr/>
      </w:pPr>
      <w:r>
        <w:rPr/>
      </w:r>
    </w:p>
    <w:p>
      <w:pPr>
        <w:pStyle w:val="Heading2"/>
        <w:numPr>
          <w:ilvl w:val="1"/>
          <w:numId w:val="2"/>
        </w:numPr>
        <w:ind w:hanging="0" w:start="0"/>
        <w:rPr/>
      </w:pPr>
      <w:bookmarkStart w:id="7" w:name="__RefHeading___Toc517698382"/>
      <w:r>
        <w:rPr/>
        <w:t>June 15 Ruling and Description of Remainder of This Testimony</w:t>
      </w:r>
      <w:bookmarkEnd w:id="7"/>
      <w:r>
        <w:rPr/>
        <w:t xml:space="preserve"> </w:t>
      </w:r>
    </w:p>
    <w:p>
      <w:pPr>
        <w:pStyle w:val="Heading2Text"/>
        <w:rPr/>
      </w:pPr>
      <w:r>
        <w:rPr/>
        <w:t>The Ruling issued on June 15, 2001 “sets a hearing schedule for determining the revenue requirements of Southern California Edison Company (Edison), Pacific Gas and Electric Company (PG&amp;E) and San Diego Gas &amp; Electric (SDG&amp;E) related to retained generation, Qualifying Facilities (QFs), bilateral contracts, and ancillary services.”</w:t>
      </w:r>
      <w:r>
        <w:rPr>
          <w:rStyle w:val="FootnoteCharacters"/>
          <w:rStyle w:val="FootnoteReference"/>
        </w:rPr>
        <w:footnoteReference w:id="7"/>
      </w:r>
      <w:r>
        <w:rPr/>
        <w:t xml:space="preserve">  It orders, among other things: “PG&amp;E, Edison and SDG&amp;E shall serve testimony on June 20, 2001 in support of cost based rates for Utility Retained Generation (URG) such testimony shall also address concerns raised in protests to the utilities’ ALs proposing cost based rates for URG.”</w:t>
      </w:r>
      <w:r>
        <w:rPr>
          <w:rStyle w:val="FootnoteCharacters"/>
          <w:rStyle w:val="FootnoteReference"/>
        </w:rPr>
        <w:footnoteReference w:id="8"/>
      </w:r>
      <w:r>
        <w:rPr/>
        <w:t xml:space="preserve">  </w:t>
      </w:r>
    </w:p>
    <w:p>
      <w:pPr>
        <w:pStyle w:val="Heading2Text"/>
        <w:rPr/>
      </w:pPr>
      <w:r>
        <w:rPr/>
        <w:t>Chapter II of this testimony sets forth a revenue requirement for URG and a proposal for cost-based rates for URG.  Chapter III of this testimony provides support for this proposal.  Chapter IV addresses issues raised in protests to SCE’s advice letters.  It also addresses certain issues raised in various comments on the Joint Ruling of April 27.</w:t>
      </w:r>
      <w:r>
        <w:br w:type="page"/>
      </w:r>
    </w:p>
    <w:p>
      <w:pPr>
        <w:pStyle w:val="Heading1Text"/>
        <w:rPr/>
      </w:pPr>
      <w:r>
        <w:rPr/>
      </w:r>
    </w:p>
    <w:p>
      <w:pPr>
        <w:pStyle w:val="Heading1"/>
        <w:numPr>
          <w:ilvl w:val="0"/>
          <w:numId w:val="2"/>
        </w:numPr>
        <w:rPr/>
      </w:pPr>
      <w:r>
        <w:rPr/>
        <w:br/>
      </w:r>
      <w:bookmarkStart w:id="8" w:name="__RefHeading___Toc517698383"/>
      <w:r>
        <w:rPr/>
        <w:t>SCE’S UTILITY RETAINED GENERATION PROPOSAL</w:t>
      </w:r>
      <w:bookmarkEnd w:id="8"/>
    </w:p>
    <w:p>
      <w:pPr>
        <w:pStyle w:val="Heading1Text"/>
        <w:rPr/>
      </w:pPr>
      <w:r>
        <w:rPr/>
        <w:t xml:space="preserve">This Chapter sets forth forecast revenue requirements for components of URG, DWR payments, and ISO-related charges and a proposal for the associated ratemaking.  SCE sets forth estimated revenue requirements for the components of URG, DWR payments, and ISO-related charges for calendar year 2002, which is used as a representative twelve-month forecast period.  SCE’s actual generation-related revenue requirements (whether based on recorded data or authorized values) will be recorded in four new balancing accounts.  The costs recorded will differ from the forecast provided in this testimony, but will be trued up annually.  They will also be subject to a trigger mechanism, should the balances need to be amortized more frequently. </w:t>
      </w:r>
    </w:p>
    <w:p>
      <w:pPr>
        <w:pStyle w:val="Heading2"/>
        <w:numPr>
          <w:ilvl w:val="1"/>
          <w:numId w:val="2"/>
        </w:numPr>
        <w:ind w:hanging="0" w:start="0"/>
        <w:rPr/>
      </w:pPr>
      <w:bookmarkStart w:id="9" w:name="__RefHeading___Toc517698384"/>
      <w:bookmarkEnd w:id="9"/>
      <w:r>
        <w:rPr/>
        <w:t>Overview Of Existing Generation-Related Ratemaking Mechanisms And Revenue Requirements</w:t>
      </w:r>
    </w:p>
    <w:p>
      <w:pPr>
        <w:pStyle w:val="Heading2Text"/>
        <w:rPr/>
      </w:pPr>
      <w:r>
        <w:rPr/>
        <w:t xml:space="preserve">SCE’s generation-related revenues and revenue requirements are currently recorded in one of four ratemaking mechanisms – the TRA, EPSBA, TCBA or GMA.  The TRA was originally established to facilitate the determination, during the AB 1890 rate freeze period, of the amount of residual CTC revenues to be transferred to the TCBA on a monthly basis and to ensure that SCE would recover neither more nor less than its authorized revenue requirements and payments to the ISO and PX.  From January 1, 1998 through January 3, 2001, residual CTC revenues were determined by reducing recorded AB 1890 frozen rate revenues (retail revenues) by the amount of 1) Commission-approved nongeneration-related revenues and applicable revenues requirements and 2) all payments made to the ISO and PX, including procurement costs.  Pursuant to D.01-03-082, the amount that results from this calculation – whether it is positive or negative – is transferred to the TCBA. </w:t>
      </w:r>
    </w:p>
    <w:p>
      <w:pPr>
        <w:pStyle w:val="Heading2Text"/>
        <w:rPr/>
      </w:pPr>
      <w:r>
        <w:rPr/>
        <w:t>On January 4, 2001 in D.01-01-018 the Commission adopted a rate surcharge of one-cent per kilowatt-hour (kWh) to be used to pay for procurement costs incurred by SCE beginning on January 4, 2001.  The EPSBA was established to record 1) the revenues from the one-cent per kWh surcharge and 2) all on-going procurement-related costs beginning January 4, 2001, including payments made to DWR.  In any given month, if the revenues from the one-cent per kWh surcharge are insufficient to recover on-going procurement costs, the shortfall reflected in the EPSBA is transferred to the TRA.  If the comparison between surcharge revenues and procurement costs result in revenues exceeding costs, the surplus remains in the EPSBA for possible refund to customers.  The EPSBA was implemented to ensure that all revenues from the one-cent per kWh surcharge are used only to recover on-going procurement costs.  Thus, beginning January 4, 2001 SCE’s procurement costs are no longer recorded directly in the TRA.</w:t>
      </w:r>
    </w:p>
    <w:p>
      <w:pPr>
        <w:pStyle w:val="Heading2Text"/>
        <w:rPr/>
      </w:pPr>
      <w:r>
        <w:rPr/>
        <w:t>The TCBA was originally established to track the recovery of SCE’s transition costs.  From January 1, 1998 through January 18, 2001, this tracking was accomplished each month by comparing total transition costs net of market revenues</w:t>
      </w:r>
      <w:r>
        <w:rPr>
          <w:rStyle w:val="FootnoteCharacters"/>
          <w:rStyle w:val="FootnoteReference"/>
        </w:rPr>
        <w:footnoteReference w:id="9"/>
      </w:r>
      <w:r>
        <w:rPr/>
        <w:t xml:space="preserve"> to the amount transferred from the TRA, other CTC-related revenues,</w:t>
      </w:r>
      <w:r>
        <w:rPr>
          <w:rStyle w:val="FootnoteCharacters"/>
          <w:rStyle w:val="FootnoteReference"/>
        </w:rPr>
        <w:footnoteReference w:id="10"/>
      </w:r>
      <w:r>
        <w:rPr/>
        <w:t xml:space="preserve"> and any gains associated with the sale of SCE’s generation related assets.  The GMAs (consisting of the ISO Revenue, the PX Revenue, the Unavoidable Fuel Contract Costs, and the Hydro Generation Memorandum Account) were originally established to track the difference between non-nuclear-related operating costs (i.e., coal, hydro, and gas) and market revenues.  If market revenues exceeded operating costs the net revenues were transferred to the TCBA to reduce the amount of transition costs.  As the result of a Federal Energy Regulatory Commission (FERC) decision dated December 15, 2000, beginning January 19, 2001 SCE stopped bidding its retained generation resources into the PX and ceased recording market revenues in the TCBA and GMAs.  </w:t>
      </w:r>
    </w:p>
    <w:p>
      <w:pPr>
        <w:pStyle w:val="Heading2Text"/>
        <w:rPr/>
      </w:pPr>
      <w:r>
        <w:rPr/>
        <w:t xml:space="preserve">Significant regulatory changes have taken place that impact SCE’s generation revenue requirements and associated ratemaking.  Such changes include:  1) legislation requiring SCE to retain its generating assets (AB X1-6); 2) the FERC’s elimination of the requirement that California investor owned utilities must buy and sell all of their energy requirements through the PX; and 3) the January and March 2001 Commission decisions that adopt rate surcharges and require that the revenues from the surcharges be used to pay for future power purchases.  Given these significant regulatory changes, SCE has continued to record its generation-related revenues and costs in its existing transition period ratemaking accounts (TRA, TCBA, and GMAs).  Because these accounts were established for very specific reasons that, in the majority of cases, are no longer applicable, new ratemaking mechanisms and revenue requirements must be implemented immediately.  </w:t>
      </w:r>
    </w:p>
    <w:p>
      <w:pPr>
        <w:pStyle w:val="Heading2"/>
        <w:numPr>
          <w:ilvl w:val="1"/>
          <w:numId w:val="2"/>
        </w:numPr>
        <w:ind w:hanging="0" w:start="0"/>
        <w:rPr/>
      </w:pPr>
      <w:bookmarkStart w:id="10" w:name="__RefHeading___Toc517698385"/>
      <w:bookmarkEnd w:id="10"/>
      <w:r>
        <w:rPr/>
        <w:t>Overview Of SCE’s Proposed URG, ISO-Related Charges, and Procurement Cost Recovery Procedures And Estimated Revenue Requirements</w:t>
      </w:r>
    </w:p>
    <w:p>
      <w:pPr>
        <w:pStyle w:val="Heading2Text"/>
        <w:rPr/>
      </w:pPr>
      <w:r>
        <w:rPr/>
        <w:t>SCE’s URG consists of 1) SCE Owned Generation (Nuclear, Hydro, and Coal); 2) QF Contracts; and 3) Interutility and Bilateral Contracts.  In addition to URG costs, SCE must also be able to recover the costs of any procurement, and ISO-related charges, such as ancillary services that may be ultimately attributed and allocated to SCE.  As described above, all of these costs and associated revenues (where applicable) are currently recorded in ratemaking accounts that were established to track costs under the requirements of the AB 1890 rate freeze.  Because of the on-going energy crisis, recently enacted legislation, and Commission decisions, the transition period accounts have become obsolete.  In fact, although SCE has begun to bill its customers for the Commission-approved rate surcharge of three-cents per kWh on June 3, 2001, no ratemaking has yet been established to account for the revenues from this surcharge.</w:t>
      </w:r>
    </w:p>
    <w:p>
      <w:pPr>
        <w:pStyle w:val="Heading2Text"/>
        <w:rPr/>
      </w:pPr>
      <w:r>
        <w:rPr/>
        <w:t xml:space="preserve">The most appropriate method to implement Commission Decisions 01-03-081 and 01-03-082, along with the cost recovery requirements of Public Utilities Code Section 360.5, is the establishment of four new balancing accounts that will reflect costs based on either 1) SCE’s actual monthly revenue requirements or 2) Commission-approved authorized revenue requirements.  SCE proposes to establish 1) the SCE-owned Generation Balancing Account (SCEOGBA); 2) the SCE Contracts Balancing Account (SCECBA); 3) the Procurement Balancing Account (PCBA); and 4) the ISO Charges Balancing Account (ISOBA).  SCE believes that the implementation of these balancing accounts – where neither more nor less than its actual or authorized revenue requirements are recorded and recovered – is reasonable as an interim measure, pending a full cost of service review in SCE’s 2003 General Rate Case (GRC).  Furthermore, consistent with the MOU, SCE believes that the four new balancing accounts should be effective on January 1, 2001 for the capital-related costs (depreciation/amortization, return, and taxes) associated with SCE’s own generation assets and February 1, 2001 for non-capital-related costs.  Once the new ratemaking mechanisms are approved, SCE will transfer applicable past recorded amounts from the TCBA, GMAs, and EPSBA to the new balancing accounts (i.e., restatement of costs and revenues to the new balancing accounts).  These transfers are necessary to ensure that going-forward URG costs, including purchased power-related costs and procurement costs are matched with going-forward revenues in the appropriate balancing accounts in compliance with D.01-03-082.  </w:t>
      </w:r>
    </w:p>
    <w:p>
      <w:pPr>
        <w:pStyle w:val="Heading2Text"/>
        <w:rPr/>
      </w:pPr>
      <w:r>
        <w:rPr/>
        <w:t xml:space="preserve">In addition, SCE proposes to establish a fifth balancing account, the Net Undercollected Amount Account (NUAA), to track past generation-related undercollections as of January 31, 2001.  The establishment of the NUAA is consistent with the direction provided by the Commission in D.01-03-082 where it stated:  </w:t>
      </w:r>
    </w:p>
    <w:p>
      <w:pPr>
        <w:pStyle w:val="Quote1"/>
        <w:rPr/>
      </w:pPr>
      <w:r>
        <w:rPr/>
        <w:t>“</w:t>
      </w:r>
      <w:r>
        <w:rPr/>
        <w:t xml:space="preserve">In this period of legislative re-examination of the premises and operation of AB 1890’s restructuring statues, it would be premature and unwise to opine as to the ultimate disposition and treatment of these accounts.  We direct the utilities to maintain the regulatory accounting mechanisms as detailed below, but we explicitly draw no conclusions as to the ultimate treatment flowing from legislative or regulatory changes that could well involve the amounts tracked in those accounts.”  </w:t>
      </w:r>
    </w:p>
    <w:p>
      <w:pPr>
        <w:pStyle w:val="Heading2Text"/>
        <w:rPr/>
      </w:pPr>
      <w:r>
        <w:rPr/>
        <w:t xml:space="preserve">Thus, all past undercollections will be identified and recorded in the NUAA until the MOU among SCE, Edison International and the DWR is codified or another legislative or regulatory plan is implemented.  On a going-forward basis all on-going generation-related costs will be matched with on-going generation rate and surcharge revenues in the operation of the four new balancing accounts.  </w:t>
      </w:r>
    </w:p>
    <w:p>
      <w:pPr>
        <w:pStyle w:val="Heading2Text"/>
        <w:rPr/>
      </w:pPr>
      <w:r>
        <w:rPr/>
        <w:t xml:space="preserve">The next section discusses the necessary balancing account mechanisms and revenue requirement forecasts in greater detail.  Table II-1 below summarizes the generation-related rate components, the January 1, 2002 forecast revenue requirements, and associated balancing account mechanisms that, at a minimum, will need to be in place until the implementation of SCE’s next GRC on January 1, 2003.  </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2Text"/>
              <w:keepNext w:val="true"/>
              <w:keepLines/>
              <w:spacing w:lineRule="auto" w:line="240"/>
              <w:ind w:hanging="0" w:end="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1</w:t>
            </w:r>
            <w:r>
              <w:rPr/>
              <w:fldChar w:fldCharType="end"/>
            </w:r>
            <w:r>
              <w:rPr/>
              <w:br/>
            </w:r>
            <w:r>
              <w:rPr>
                <w:b/>
              </w:rPr>
              <w:t>Estimated Generation-Related Rate Components, Revenue Requirements, and Balancing Accounts</w:t>
            </w:r>
          </w:p>
          <w:p>
            <w:pPr>
              <w:pStyle w:val="Heading"/>
              <w:spacing w:before="360" w:after="120"/>
              <w:rPr>
                <w:b w:val="false"/>
              </w:rPr>
            </w:pPr>
            <w:r>
              <w:rPr>
                <w:b w:val="false"/>
              </w:rPr>
              <w:t>($ Billions)</w:t>
            </w:r>
          </w:p>
        </w:tc>
      </w:tr>
      <w:tr>
        <w:trPr/>
        <w:tc>
          <w:tcPr>
            <w:tcW w:w="9576" w:type="dxa"/>
            <w:tcBorders/>
          </w:tcPr>
          <w:p>
            <w:pPr>
              <w:pStyle w:val="Normal"/>
              <w:keepNext w:val="true"/>
              <w:keepLines/>
              <w:snapToGrid w:val="false"/>
              <w:rPr/>
            </w:pPr>
            <w:r>
              <w:rPr/>
              <w:drawing>
                <wp:anchor behindDoc="0" distT="0" distB="0" distL="114935" distR="114935" simplePos="0" locked="0" layoutInCell="0" allowOverlap="1" relativeHeight="65">
                  <wp:simplePos x="0" y="0"/>
                  <wp:positionH relativeFrom="margin">
                    <wp:posOffset>399415</wp:posOffset>
                  </wp:positionH>
                  <wp:positionV relativeFrom="paragraph">
                    <wp:posOffset>635</wp:posOffset>
                  </wp:positionV>
                  <wp:extent cx="5481320" cy="259334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6" t="-13" r="-6" b="-13"/>
                          <a:stretch>
                            <a:fillRect/>
                          </a:stretch>
                        </pic:blipFill>
                        <pic:spPr bwMode="auto">
                          <a:xfrm>
                            <a:off x="0" y="0"/>
                            <a:ext cx="5481320" cy="2593340"/>
                          </a:xfrm>
                          <a:prstGeom prst="rect">
                            <a:avLst/>
                          </a:prstGeom>
                          <a:noFill/>
                        </pic:spPr>
                      </pic:pic>
                    </a:graphicData>
                  </a:graphic>
                </wp:anchor>
              </w:drawing>
            </w:r>
          </w:p>
        </w:tc>
      </w:tr>
    </w:tbl>
    <w:p>
      <w:pPr>
        <w:pStyle w:val="Heading2Text"/>
        <w:rPr/>
      </w:pPr>
      <w:r>
        <w:rPr/>
      </w:r>
    </w:p>
    <w:p>
      <w:pPr>
        <w:pStyle w:val="Heading2Text"/>
        <w:rPr/>
      </w:pPr>
      <w:r>
        <w:rPr/>
        <w:t xml:space="preserve">SCE is providing its estimated revenue requirements for calendar year 2002 for use as a representative twelve month forecast period.  In addition, SCE has provided the estimated revenue requirements under two scenarios – 1) “not creditworthy” and 2) “creditworthy.”  The only difference between these two scenarios is the estimated ISO-related charges shown on line 8 of Table II-1.  This difference is discussed in more detail in Chapter III, Section 5.  As discussed above, SCE’s actual generation-related revenue requirements (whether based on recorded data or authorized values) will be recorded in the appropriate balancing account mechanism and will differ from the forecast provided in this testimony. However, the estimated revenue requirements provided herein are necessary for two purposes.  First, the estimated revenue requirements will be used to determine generation-related dedicated rate components that will be used both during and after the AB 1890 rate freeze period as discussed below in Section D.  Second, as identified in the June 15, 2001 Chief Administrative Law Judge’s Ruling, SCE’s estimated revenue requirements will assist the Commission in accurately implementing DWR’s revenue requirement.  </w:t>
      </w:r>
    </w:p>
    <w:p>
      <w:pPr>
        <w:pStyle w:val="Heading2Text"/>
        <w:rPr/>
      </w:pPr>
      <w:r>
        <w:rPr/>
        <w:t>As discussed above, SCE proposes to establish the NUAA to track the amount of past generation-related undercollections as of January 31, 2001.  Upon implementation of the MOU (or other legislative or regulatory plan), the revenue requirement associated with recovery of the past undercollections will also need to be included in the determination of SCE’s total generation-related revenue requirement.</w:t>
      </w:r>
      <w:r>
        <w:rPr>
          <w:rStyle w:val="FootnoteCharacters"/>
          <w:rStyle w:val="FootnoteReference"/>
        </w:rPr>
        <w:footnoteReference w:id="11"/>
      </w:r>
    </w:p>
    <w:p>
      <w:pPr>
        <w:pStyle w:val="Heading2Text"/>
        <w:rPr/>
      </w:pPr>
      <w:r>
        <w:rPr/>
        <w:t>Upon Commission approval to establish the new balancing account mechanisms, the following tariff changes are necessary:</w:t>
      </w:r>
    </w:p>
    <w:p>
      <w:pPr>
        <w:pStyle w:val="Heading2Text"/>
        <w:numPr>
          <w:ilvl w:val="0"/>
          <w:numId w:val="12"/>
        </w:numPr>
        <w:rPr/>
      </w:pPr>
      <w:r>
        <w:rPr/>
        <w:t>Eliminate Preliminary Statement, Part N.40, ISO Revenue Memorandum Account;</w:t>
      </w:r>
    </w:p>
    <w:p>
      <w:pPr>
        <w:pStyle w:val="Heading2Text"/>
        <w:numPr>
          <w:ilvl w:val="0"/>
          <w:numId w:val="12"/>
        </w:numPr>
        <w:rPr/>
      </w:pPr>
      <w:r>
        <w:rPr/>
        <w:t>Eliminate Preliminary Statement, Part N.41, PX Revenue Memorandum Account;</w:t>
      </w:r>
    </w:p>
    <w:p>
      <w:pPr>
        <w:pStyle w:val="Heading2Text"/>
        <w:numPr>
          <w:ilvl w:val="0"/>
          <w:numId w:val="12"/>
        </w:numPr>
        <w:rPr/>
      </w:pPr>
      <w:r>
        <w:rPr/>
        <w:t>Eliminate Preliminary Statement, Part N.42, Unavoidable Fuel Contract Cost Memorandum Account</w:t>
      </w:r>
    </w:p>
    <w:p>
      <w:pPr>
        <w:pStyle w:val="Heading2Text"/>
        <w:numPr>
          <w:ilvl w:val="0"/>
          <w:numId w:val="12"/>
        </w:numPr>
        <w:rPr/>
      </w:pPr>
      <w:r>
        <w:rPr/>
        <w:t>Eliminate Preliminary Statement, Part N.43, Hydro Generation Memorandum Account;</w:t>
      </w:r>
    </w:p>
    <w:p>
      <w:pPr>
        <w:pStyle w:val="Heading2Text"/>
        <w:numPr>
          <w:ilvl w:val="0"/>
          <w:numId w:val="12"/>
        </w:numPr>
        <w:rPr/>
      </w:pPr>
      <w:r>
        <w:rPr/>
        <w:t>Modify Preliminary Statement, Part R, Transition Revenue Account to determine the monthly amount of Available Generation Revenue (See Section D.1 below, for a discussion of this required modification);</w:t>
      </w:r>
    </w:p>
    <w:p>
      <w:pPr>
        <w:pStyle w:val="Heading2Text"/>
        <w:numPr>
          <w:ilvl w:val="0"/>
          <w:numId w:val="12"/>
        </w:numPr>
        <w:rPr/>
      </w:pPr>
      <w:r>
        <w:rPr/>
        <w:t>Eliminate Preliminary Statement, Part JJ, Transition Cost Balancing Account;</w:t>
      </w:r>
    </w:p>
    <w:p>
      <w:pPr>
        <w:pStyle w:val="Heading2Text"/>
        <w:numPr>
          <w:ilvl w:val="0"/>
          <w:numId w:val="12"/>
        </w:numPr>
        <w:rPr/>
      </w:pPr>
      <w:r>
        <w:rPr/>
        <w:t>Establish Preliminary Statement, Part RR, Net Undercollected Amount Account to track the net undercollected amount as defined in Section 9 of the MOU;</w:t>
      </w:r>
    </w:p>
    <w:p>
      <w:pPr>
        <w:pStyle w:val="Heading2Text"/>
        <w:numPr>
          <w:ilvl w:val="0"/>
          <w:numId w:val="12"/>
        </w:numPr>
        <w:rPr/>
      </w:pPr>
      <w:r>
        <w:rPr/>
        <w:t>Eliminate Preliminary Statement, Part KK, Emergency Procurement Surcharge Balancing Account.</w:t>
      </w:r>
    </w:p>
    <w:p>
      <w:pPr>
        <w:pStyle w:val="Heading2"/>
        <w:numPr>
          <w:ilvl w:val="1"/>
          <w:numId w:val="2"/>
        </w:numPr>
        <w:ind w:hanging="0" w:start="0"/>
        <w:rPr/>
      </w:pPr>
      <w:bookmarkStart w:id="11" w:name="__RefHeading___Toc517698386"/>
      <w:bookmarkEnd w:id="11"/>
      <w:r>
        <w:rPr/>
        <w:t>Revenue Requirement Forecasts And Balancing Account Mechanisms Needed For The Implementation Of Proposed URG Cost Recovery</w:t>
      </w:r>
    </w:p>
    <w:p>
      <w:pPr>
        <w:pStyle w:val="Heading3"/>
        <w:numPr>
          <w:ilvl w:val="2"/>
          <w:numId w:val="2"/>
        </w:numPr>
        <w:ind w:hanging="0" w:start="0"/>
        <w:rPr/>
      </w:pPr>
      <w:bookmarkStart w:id="12" w:name="__RefHeading___Toc517698387"/>
      <w:bookmarkEnd w:id="12"/>
      <w:r>
        <w:rPr/>
        <w:t>SCE Owned Generation</w:t>
      </w:r>
    </w:p>
    <w:p>
      <w:pPr>
        <w:pStyle w:val="heading3Text"/>
        <w:rPr/>
      </w:pPr>
      <w:r>
        <w:rPr/>
        <w:t>SCE proposes to record the monthly revenue requirement associated with its own generation in the SCE Owned Generation Balancing Account (SCEOGBA).  The monthly revenue requirement will include:</w:t>
      </w:r>
    </w:p>
    <w:p>
      <w:pPr>
        <w:pStyle w:val="heading3Text"/>
        <w:numPr>
          <w:ilvl w:val="0"/>
          <w:numId w:val="9"/>
        </w:numPr>
        <w:rPr/>
      </w:pPr>
      <w:r>
        <w:rPr/>
        <w:t>Actual on-going operating costs for Palo Verde, Mohave, Four Corners, and Catalina</w:t>
      </w:r>
      <w:r>
        <w:rPr>
          <w:rStyle w:val="FootnoteCharacters"/>
          <w:rStyle w:val="FootnoteReference"/>
        </w:rPr>
        <w:footnoteReference w:id="12"/>
      </w:r>
      <w:r>
        <w:rPr/>
        <w:t>;</w:t>
      </w:r>
    </w:p>
    <w:p>
      <w:pPr>
        <w:pStyle w:val="heading3Text"/>
        <w:numPr>
          <w:ilvl w:val="0"/>
          <w:numId w:val="9"/>
        </w:numPr>
        <w:rPr/>
      </w:pPr>
      <w:r>
        <w:rPr/>
        <w:t>Authorized on-going operating costs for Hydro;</w:t>
      </w:r>
    </w:p>
    <w:p>
      <w:pPr>
        <w:pStyle w:val="heading3Text"/>
        <w:numPr>
          <w:ilvl w:val="0"/>
          <w:numId w:val="9"/>
        </w:numPr>
        <w:rPr/>
      </w:pPr>
      <w:r>
        <w:rPr/>
        <w:t>SONGS ICIP revenue requirement; and</w:t>
      </w:r>
    </w:p>
    <w:p>
      <w:pPr>
        <w:pStyle w:val="heading3Text"/>
        <w:numPr>
          <w:ilvl w:val="0"/>
          <w:numId w:val="9"/>
        </w:numPr>
        <w:rPr/>
      </w:pPr>
      <w:r>
        <w:rPr/>
        <w:t>Actual capital costs, including a full return on SCE’s generation rate base.</w:t>
      </w:r>
    </w:p>
    <w:p>
      <w:pPr>
        <w:pStyle w:val="heading3Text"/>
        <w:ind w:hanging="0" w:end="0"/>
        <w:rPr/>
      </w:pPr>
      <w:r>
        <w:rPr/>
        <w:t>SCE proposes to set its investment in its retained generation assets at the net book value of the assets on December 31, 2000, including flow through taxes, subject to refund with respect to post-1995 capital additions not yet approved by the Commission in either the Capital Additions proceeding or the Annual Transition Cost Proceeding (ATCP).  SCE proposes that the SCEOGBA will also record capital additions placed in service after January 1, 2001, subject to refund based upon subsequent Commission determination of reasonableness of such investments.  Depreciation/amortization schedules are based on the expected remaining life of each plant, except that the amortization period for the December 31, 2000 investment for SONGS and Palo Verde is fixed to expire on December 31, 2010.  Table II-2 below summarizes SCE’s estimated January 1, 2002 SCEOGBA revenue requirement that will be used to establish the initial SCEOGBA dedicated rate component as discussed in Section D below.</w:t>
      </w:r>
    </w:p>
    <w:p>
      <w:pPr>
        <w:pStyle w:val="heading3Text"/>
        <w:ind w:hanging="0" w:end="0"/>
        <w:rPr/>
      </w:pPr>
      <w:r>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3Text"/>
              <w:keepNext w:val="true"/>
              <w:keepLines/>
              <w:spacing w:lineRule="auto" w:line="240"/>
              <w:ind w:hanging="0" w:end="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2</w:t>
            </w:r>
            <w:r>
              <w:rPr/>
              <w:fldChar w:fldCharType="end"/>
            </w:r>
            <w:r>
              <w:rPr/>
              <w:br/>
            </w:r>
            <w:r>
              <w:rPr>
                <w:b/>
              </w:rPr>
              <w:t>Estimated January 1, 2002 SCEOGBA Revenue Requirement</w:t>
            </w:r>
          </w:p>
          <w:p>
            <w:pPr>
              <w:pStyle w:val="Heading"/>
              <w:spacing w:before="360" w:after="120"/>
              <w:rPr>
                <w:b w:val="false"/>
              </w:rPr>
            </w:pPr>
            <w:r>
              <w:rPr>
                <w:b w:val="false"/>
              </w:rPr>
              <w:t>($000)</w:t>
            </w:r>
          </w:p>
        </w:tc>
      </w:tr>
      <w:tr>
        <w:trPr/>
        <w:tc>
          <w:tcPr>
            <w:tcW w:w="9576" w:type="dxa"/>
            <w:tcBorders/>
          </w:tcPr>
          <w:p>
            <w:pPr>
              <w:pStyle w:val="Normal"/>
              <w:keepNext w:val="true"/>
              <w:keepLines/>
              <w:snapToGrid w:val="false"/>
              <w:rPr/>
            </w:pPr>
            <w:r>
              <w:rPr/>
              <w:drawing>
                <wp:anchor behindDoc="0" distT="0" distB="0" distL="114935" distR="114935" simplePos="0" locked="0" layoutInCell="0" allowOverlap="1" relativeHeight="55">
                  <wp:simplePos x="0" y="0"/>
                  <wp:positionH relativeFrom="margin">
                    <wp:posOffset>283210</wp:posOffset>
                  </wp:positionH>
                  <wp:positionV relativeFrom="paragraph">
                    <wp:posOffset>635</wp:posOffset>
                  </wp:positionV>
                  <wp:extent cx="5483225" cy="3268980"/>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8"/>
                          <a:srcRect l="-4" t="-7" r="-4" b="-7"/>
                          <a:stretch>
                            <a:fillRect/>
                          </a:stretch>
                        </pic:blipFill>
                        <pic:spPr bwMode="auto">
                          <a:xfrm>
                            <a:off x="0" y="0"/>
                            <a:ext cx="5483225" cy="3268980"/>
                          </a:xfrm>
                          <a:prstGeom prst="rect">
                            <a:avLst/>
                          </a:prstGeom>
                          <a:noFill/>
                        </pic:spPr>
                      </pic:pic>
                    </a:graphicData>
                  </a:graphic>
                </wp:anchor>
              </w:drawing>
            </w:r>
          </w:p>
        </w:tc>
      </w:tr>
    </w:tbl>
    <w:p>
      <w:pPr>
        <w:pStyle w:val="heading3Text"/>
        <w:ind w:hanging="0" w:end="0"/>
        <w:rPr/>
      </w:pPr>
      <w:r>
        <w:rPr/>
      </w:r>
    </w:p>
    <w:p>
      <w:pPr>
        <w:pStyle w:val="Heading3"/>
        <w:numPr>
          <w:ilvl w:val="2"/>
          <w:numId w:val="2"/>
        </w:numPr>
        <w:ind w:hanging="0" w:start="0"/>
        <w:rPr/>
      </w:pPr>
      <w:bookmarkStart w:id="13" w:name="__RefHeading___Toc517698388"/>
      <w:bookmarkEnd w:id="13"/>
      <w:r>
        <w:rPr/>
        <w:t>SCE Contract Costs</w:t>
      </w:r>
    </w:p>
    <w:p>
      <w:pPr>
        <w:pStyle w:val="heading3Text"/>
        <w:rPr/>
      </w:pPr>
      <w:r>
        <w:rPr/>
        <w:t xml:space="preserve">SCE proposes to record the monthly revenue requirement associated with its QF contract costs and existing bilateral contract costs in the SCE Contracts Balancing Account (SCECBA).  Table II-3 below summarizes SCE’s estimated January 1, 2002 SCECBA revenue requirement that will be used to establish the initial SCECBA dedicated rate component as discussed in Section D below.  </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3Text"/>
              <w:keepNext w:val="true"/>
              <w:keepLines/>
              <w:spacing w:lineRule="auto" w:line="240" w:before="240" w:after="0"/>
              <w:ind w:hanging="0" w:end="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3</w:t>
            </w:r>
            <w:r>
              <w:rPr/>
              <w:fldChar w:fldCharType="end"/>
            </w:r>
            <w:r>
              <w:rPr/>
              <w:br/>
            </w:r>
            <w:r>
              <w:rPr>
                <w:b/>
              </w:rPr>
              <w:t>Estimated January 1, 2002 SCECBA Revenue Requirement</w:t>
            </w:r>
          </w:p>
          <w:p>
            <w:pPr>
              <w:pStyle w:val="Heading"/>
              <w:spacing w:before="360" w:after="120"/>
              <w:rPr>
                <w:b w:val="false"/>
              </w:rPr>
            </w:pPr>
            <w:r>
              <w:rPr>
                <w:b w:val="false"/>
              </w:rPr>
              <w:t>($000)</w:t>
            </w:r>
          </w:p>
        </w:tc>
      </w:tr>
      <w:tr>
        <w:trPr/>
        <w:tc>
          <w:tcPr>
            <w:tcW w:w="9576" w:type="dxa"/>
            <w:tcBorders/>
          </w:tcPr>
          <w:p>
            <w:pPr>
              <w:pStyle w:val="Normal"/>
              <w:keepNext w:val="true"/>
              <w:keepLines/>
              <w:snapToGrid w:val="false"/>
              <w:rPr/>
            </w:pPr>
            <w:r>
              <w:rPr/>
              <w:drawing>
                <wp:anchor behindDoc="0" distT="0" distB="0" distL="114935" distR="114935" simplePos="0" locked="0" layoutInCell="0" allowOverlap="1" relativeHeight="59">
                  <wp:simplePos x="0" y="0"/>
                  <wp:positionH relativeFrom="margin">
                    <wp:posOffset>53975</wp:posOffset>
                  </wp:positionH>
                  <wp:positionV relativeFrom="paragraph">
                    <wp:posOffset>635</wp:posOffset>
                  </wp:positionV>
                  <wp:extent cx="5483860" cy="1991360"/>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9"/>
                          <a:srcRect l="-6" t="-17" r="-6" b="-17"/>
                          <a:stretch>
                            <a:fillRect/>
                          </a:stretch>
                        </pic:blipFill>
                        <pic:spPr bwMode="auto">
                          <a:xfrm>
                            <a:off x="0" y="0"/>
                            <a:ext cx="5483860" cy="1991360"/>
                          </a:xfrm>
                          <a:prstGeom prst="rect">
                            <a:avLst/>
                          </a:prstGeom>
                          <a:noFill/>
                        </pic:spPr>
                      </pic:pic>
                    </a:graphicData>
                  </a:graphic>
                </wp:anchor>
              </w:drawing>
            </w:r>
          </w:p>
        </w:tc>
      </w:tr>
    </w:tbl>
    <w:p>
      <w:pPr>
        <w:pStyle w:val="heading3Text"/>
        <w:spacing w:lineRule="auto" w:line="240"/>
        <w:ind w:hanging="0" w:end="0"/>
        <w:rPr/>
      </w:pPr>
      <w:r>
        <w:rPr/>
      </w:r>
    </w:p>
    <w:p>
      <w:pPr>
        <w:pStyle w:val="Heading3"/>
        <w:numPr>
          <w:ilvl w:val="2"/>
          <w:numId w:val="2"/>
        </w:numPr>
        <w:ind w:hanging="0" w:start="0"/>
        <w:rPr/>
      </w:pPr>
      <w:bookmarkStart w:id="14" w:name="__RefHeading___Toc517698389"/>
      <w:bookmarkEnd w:id="14"/>
      <w:r>
        <w:rPr/>
        <w:t>Procurement Costs</w:t>
      </w:r>
    </w:p>
    <w:p>
      <w:pPr>
        <w:pStyle w:val="heading3Text"/>
        <w:rPr/>
      </w:pPr>
      <w:r>
        <w:rPr/>
        <w:t>SCE proposes to record all payments made by SCE to DWR for the costs DWR is incurring to procure energy on behalf of SCE customers in the Procurement Costs Balancing Account (PCBA).  Consistent with D.01-03-081, SCE began making payments to DWR on March 28, 2001, based on a methodology outlined in D.01-03-081 where DWR receives SCE’s average generation-related rate component for each kWh that DWR supplies to SCE’s retail end-use customers.  All payments that SCE makes to DWR (either under the current method or based on DWR’s revenue requirement provided to the Commission) will be recorded as a cost in the operation of the PCBA.  When SCE resumes procurement responsibilities after 2002, as is contemplated in the MOU, all procurement costs incurred by SCE in order to provide for the net-short needs of SCE’s retail customers will be recorded in the PCBA.</w:t>
      </w:r>
      <w:r>
        <w:rPr>
          <w:rStyle w:val="FootnoteCharacters"/>
          <w:rStyle w:val="FootnoteReference"/>
        </w:rPr>
        <w:footnoteReference w:id="13"/>
      </w:r>
      <w:r>
        <w:rPr/>
        <w:t xml:space="preserve">  Table II-4 below summarizes SCE’s estimated January 1, 2002 PCBA revenue requirement that will be used to establish the initial PCBA dedicated rate component as discussed in Section D below.</w:t>
      </w:r>
    </w:p>
    <w:tbl>
      <w:tblPr>
        <w:tblW w:w="9576" w:type="dxa"/>
        <w:jc w:val="start"/>
        <w:tblInd w:w="0" w:type="dxa"/>
        <w:tblLayout w:type="fixed"/>
        <w:tblCellMar>
          <w:top w:w="0" w:type="dxa"/>
          <w:start w:w="108" w:type="dxa"/>
          <w:bottom w:w="0" w:type="dxa"/>
          <w:end w:w="108" w:type="dxa"/>
        </w:tblCellMar>
      </w:tblPr>
      <w:tblGrid>
        <w:gridCol w:w="9576"/>
      </w:tblGrid>
      <w:tr>
        <w:trPr>
          <w:trHeight w:val="100" w:hRule="atLeast"/>
        </w:trPr>
        <w:tc>
          <w:tcPr>
            <w:tcW w:w="9576" w:type="dxa"/>
            <w:tcBorders/>
          </w:tcPr>
          <w:p>
            <w:pPr>
              <w:pStyle w:val="heading3Text"/>
              <w:spacing w:lineRule="auto" w:line="240" w:before="240" w:after="0"/>
              <w:ind w:hanging="0" w:end="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4</w:t>
            </w:r>
            <w:r>
              <w:rPr/>
              <w:fldChar w:fldCharType="end"/>
            </w:r>
            <w:r>
              <w:rPr/>
              <w:br/>
            </w:r>
            <w:r>
              <w:rPr>
                <w:b/>
              </w:rPr>
              <w:t>Estimated January 1, 2002 PCBA Revenue Requirement</w:t>
            </w:r>
          </w:p>
          <w:p>
            <w:pPr>
              <w:pStyle w:val="Heading"/>
              <w:spacing w:before="360" w:after="120"/>
              <w:rPr>
                <w:b w:val="false"/>
              </w:rPr>
            </w:pPr>
            <w:r>
              <w:rPr>
                <w:b w:val="false"/>
              </w:rPr>
              <w:t>($000)</w:t>
            </w:r>
          </w:p>
        </w:tc>
      </w:tr>
      <w:tr>
        <w:trPr/>
        <w:tc>
          <w:tcPr>
            <w:tcW w:w="9576" w:type="dxa"/>
            <w:tcBorders/>
          </w:tcPr>
          <w:p>
            <w:pPr>
              <w:pStyle w:val="Normal"/>
              <w:snapToGrid w:val="false"/>
              <w:rPr/>
            </w:pPr>
            <w:r>
              <w:rPr/>
              <w:drawing>
                <wp:anchor behindDoc="0" distT="0" distB="0" distL="114935" distR="114935" simplePos="0" locked="0" layoutInCell="0" allowOverlap="1" relativeHeight="60">
                  <wp:simplePos x="0" y="0"/>
                  <wp:positionH relativeFrom="margin">
                    <wp:posOffset>1143000</wp:posOffset>
                  </wp:positionH>
                  <wp:positionV relativeFrom="paragraph">
                    <wp:posOffset>258445</wp:posOffset>
                  </wp:positionV>
                  <wp:extent cx="3086100" cy="1066800"/>
                  <wp:effectExtent l="0" t="0" r="0" b="0"/>
                  <wp:wrapTopAndBottom/>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0"/>
                          <a:srcRect l="-12" t="-34" r="-12" b="-34"/>
                          <a:stretch>
                            <a:fillRect/>
                          </a:stretch>
                        </pic:blipFill>
                        <pic:spPr bwMode="auto">
                          <a:xfrm>
                            <a:off x="0" y="0"/>
                            <a:ext cx="3086100" cy="1066800"/>
                          </a:xfrm>
                          <a:prstGeom prst="rect">
                            <a:avLst/>
                          </a:prstGeom>
                          <a:noFill/>
                        </pic:spPr>
                      </pic:pic>
                    </a:graphicData>
                  </a:graphic>
                </wp:anchor>
              </w:drawing>
            </w:r>
          </w:p>
        </w:tc>
      </w:tr>
    </w:tbl>
    <w:p>
      <w:pPr>
        <w:pStyle w:val="heading3Text"/>
        <w:spacing w:lineRule="auto" w:line="240"/>
        <w:ind w:hanging="0" w:end="0"/>
        <w:jc w:val="center"/>
        <w:rPr/>
      </w:pPr>
      <w:r>
        <w:rPr/>
      </w:r>
    </w:p>
    <w:p>
      <w:pPr>
        <w:pStyle w:val="Heading3"/>
        <w:numPr>
          <w:ilvl w:val="2"/>
          <w:numId w:val="2"/>
        </w:numPr>
        <w:ind w:hanging="0" w:start="0"/>
        <w:rPr/>
      </w:pPr>
      <w:bookmarkStart w:id="15" w:name="__RefHeading___Toc517698390"/>
      <w:bookmarkEnd w:id="15"/>
      <w:r>
        <w:rPr/>
        <w:t>ISO-Related Charges</w:t>
      </w:r>
    </w:p>
    <w:p>
      <w:pPr>
        <w:pStyle w:val="heading3Text"/>
        <w:rPr/>
      </w:pPr>
      <w:r>
        <w:rPr/>
        <w:t>SCE proposes to record all payments made by SCE to the ISO for costs associated with ancillary services and uplift charges in the ISO Balancing Account (ISOBA).  Due to SCE’s financial difficulties, SCE is not making payments to the ISO for costs associated with ancillary services.</w:t>
      </w:r>
      <w:r>
        <w:rPr>
          <w:rStyle w:val="FootnoteCharacters"/>
          <w:rStyle w:val="FootnoteReference"/>
        </w:rPr>
        <w:footnoteReference w:id="14"/>
      </w:r>
      <w:r>
        <w:rPr/>
        <w:t xml:space="preserve">  However, SCE is continuing to pay the ISO for certain incurred uplift charges as identified in Chapter III, Section 5.  SCE has estimated the 2002 ISOBA revenue requirement under both “creditworthy” and “not creditworthy” scenarios.  Table II-5 below summarizes SCE’s estimated January 1, 2002 ISOBA revenue requirement under both scenarios that will be used to establish the initial ISOBA dedicated rate component as discussed in Section D below.</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5</w:t>
            </w:r>
            <w:r>
              <w:rPr/>
              <w:fldChar w:fldCharType="end"/>
            </w:r>
            <w:r>
              <w:rPr/>
              <w:br/>
              <w:t>Estimated January 1, 2002 ISOBA Revenue Requirement</w:t>
              <w:br/>
              <w:t>($000)</w:t>
            </w:r>
          </w:p>
        </w:tc>
      </w:tr>
      <w:tr>
        <w:trPr/>
        <w:tc>
          <w:tcPr>
            <w:tcW w:w="9576" w:type="dxa"/>
            <w:tcBorders/>
          </w:tcPr>
          <w:p>
            <w:pPr>
              <w:pStyle w:val="Normal"/>
              <w:snapToGrid w:val="false"/>
              <w:rPr/>
            </w:pPr>
            <w:r>
              <w:rPr/>
              <w:drawing>
                <wp:anchor behindDoc="0" distT="0" distB="0" distL="114935" distR="114935" simplePos="0" locked="0" layoutInCell="0" allowOverlap="1" relativeHeight="64">
                  <wp:simplePos x="0" y="0"/>
                  <wp:positionH relativeFrom="margin">
                    <wp:posOffset>1080135</wp:posOffset>
                  </wp:positionH>
                  <wp:positionV relativeFrom="paragraph">
                    <wp:posOffset>635</wp:posOffset>
                  </wp:positionV>
                  <wp:extent cx="3316605" cy="1839595"/>
                  <wp:effectExtent l="0" t="0" r="0" b="0"/>
                  <wp:wrapTopAndBottom/>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11"/>
                          <a:srcRect l="-11" t="-20" r="-11" b="-20"/>
                          <a:stretch>
                            <a:fillRect/>
                          </a:stretch>
                        </pic:blipFill>
                        <pic:spPr bwMode="auto">
                          <a:xfrm>
                            <a:off x="0" y="0"/>
                            <a:ext cx="3316605" cy="1839595"/>
                          </a:xfrm>
                          <a:prstGeom prst="rect">
                            <a:avLst/>
                          </a:prstGeom>
                          <a:noFill/>
                        </pic:spPr>
                      </pic:pic>
                    </a:graphicData>
                  </a:graphic>
                </wp:anchor>
              </w:drawing>
            </w:r>
          </w:p>
        </w:tc>
      </w:tr>
    </w:tbl>
    <w:p>
      <w:pPr>
        <w:pStyle w:val="Heading2Text"/>
        <w:ind w:hanging="0" w:end="0"/>
        <w:rPr/>
      </w:pPr>
      <w:r>
        <w:rPr/>
      </w:r>
    </w:p>
    <w:p>
      <w:pPr>
        <w:pStyle w:val="Heading2"/>
        <w:numPr>
          <w:ilvl w:val="1"/>
          <w:numId w:val="2"/>
        </w:numPr>
        <w:ind w:hanging="0" w:start="0"/>
        <w:rPr/>
      </w:pPr>
      <w:bookmarkStart w:id="16" w:name="__RefHeading___Toc517698391"/>
      <w:bookmarkEnd w:id="16"/>
      <w:r>
        <w:rPr/>
        <w:t>Determination Of Generation-Related Dedicated Rate Components</w:t>
      </w:r>
    </w:p>
    <w:p>
      <w:pPr>
        <w:pStyle w:val="Heading1Text"/>
        <w:rPr/>
      </w:pPr>
      <w:r>
        <w:rPr/>
        <w:t>As described above in Section C, SCE will record the monthly revenue requirements associated with its own generation, its purchase power contracts, procurement costs, and ISO charges in the applicable balancing account.  Generation rate and surcharge revenues will also be recorded in each balancing account based on revenues derived from the application of the generation-related dedicated rate components discussed below.  Thus, each balancing account will track, on a monthly basis, the authorized or recorded revenue requirements compared to recorded generation rate and surcharge revenues.  Accumulated balances in each balancing account will accrue interest monthly based on the Federal Reserve’s published 3-month commercial paper rate.  Based on the estimated 2002 revenue requirements presented above in Section C and SCE’s “May 2001” calendar year 2002 sales forecast</w:t>
      </w:r>
      <w:r>
        <w:rPr>
          <w:rStyle w:val="FootnoteCharacters"/>
          <w:rStyle w:val="FootnoteReference"/>
        </w:rPr>
        <w:footnoteReference w:id="15"/>
      </w:r>
      <w:r>
        <w:rPr/>
        <w:t>, Table II-6 below shows the average rates that would be necessary to fully recover all of SCE’s own generation costs, SCE’s purchased power contract costs, payments due to DWR consistent with Commission decisions</w:t>
      </w:r>
      <w:r>
        <w:rPr>
          <w:rStyle w:val="FootnoteCharacters"/>
          <w:rStyle w:val="FootnoteReference"/>
        </w:rPr>
        <w:footnoteReference w:id="16"/>
      </w:r>
      <w:r>
        <w:rPr/>
        <w:t>, and applicable ISO-related charges.  In compliance with D.01-03-082, the approximately 4 cents/kWh surcharge has first been allocated to the generation-related dedicated rate components that will be recorded in the SCECBA, PCBA, and the ISOBA.</w:t>
      </w:r>
      <w:r>
        <w:rPr>
          <w:rStyle w:val="FootnoteCharacters"/>
          <w:rStyle w:val="FootnoteReference"/>
        </w:rPr>
        <w:footnoteReference w:id="17"/>
      </w:r>
      <w:r>
        <w:rPr/>
        <w:t xml:space="preserve">  This allocation ensures that the surcharge revenues will be matched with future power production and procurement costs.  As shown below in Table II-6, the sum of SCE’s generation-related dedicated rate components will be 8.75 cents per kWh until SCE becomes creditworthy.  At the time SCE becomes creditworthy, this rate is estimated to be 9.71 cents per kWh. </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w:t>
            </w:r>
            <w:r>
              <w:rPr>
                <w:lang w:val="en-CA"/>
              </w:rPr>
            </w:r>
            <w:r>
              <w:rPr>
                <w:lang w:val="en-CA"/>
              </w:rPr>
              <w:fldChar w:fldCharType="end"/>
            </w:r>
            <w:r>
              <w:rPr/>
              <w:t>-</w:t>
            </w:r>
            <w:r>
              <w:rPr/>
              <w:fldChar w:fldCharType="begin"/>
            </w:r>
            <w:r>
              <w:rPr/>
              <w:instrText xml:space="preserve"> SEQ Table \* ARABIC </w:instrText>
            </w:r>
            <w:r>
              <w:rPr/>
              <w:fldChar w:fldCharType="separate"/>
            </w:r>
            <w:r>
              <w:rPr/>
              <w:t>6</w:t>
            </w:r>
            <w:r>
              <w:rPr/>
              <w:fldChar w:fldCharType="end"/>
            </w:r>
            <w:r>
              <w:rPr/>
              <w:br/>
              <w:t>Generation-Related Dedicated Rate Components</w:t>
            </w:r>
          </w:p>
        </w:tc>
      </w:tr>
      <w:tr>
        <w:trPr>
          <w:trHeight w:val="100" w:hRule="atLeast"/>
        </w:trPr>
        <w:tc>
          <w:tcPr>
            <w:tcW w:w="9576" w:type="dxa"/>
            <w:tcBorders/>
          </w:tcPr>
          <w:p>
            <w:pPr>
              <w:pStyle w:val="Normal"/>
              <w:snapToGrid w:val="false"/>
              <w:rPr/>
            </w:pPr>
            <w:r>
              <w:rPr/>
            </w:r>
          </w:p>
        </w:tc>
      </w:tr>
    </w:tbl>
    <w:p>
      <w:pPr>
        <w:pStyle w:val="Heading3"/>
        <w:numPr>
          <w:ilvl w:val="2"/>
          <w:numId w:val="2"/>
        </w:numPr>
        <w:ind w:hanging="0" w:start="0"/>
        <w:rPr/>
      </w:pPr>
      <w:bookmarkStart w:id="17" w:name="__RefHeading___Toc517698392"/>
      <w:bookmarkEnd w:id="17"/>
      <w:r>
        <w:rPr/>
        <w:t>Generation-Related Dedicated Rate Components During the AB 1890 Rate Freeze Period</w:t>
      </w:r>
    </w:p>
    <w:p>
      <w:pPr>
        <w:pStyle w:val="Heading1Text"/>
        <w:ind w:firstLine="1440" w:end="0"/>
        <w:rPr/>
      </w:pPr>
      <w:r>
        <w:drawing>
          <wp:anchor behindDoc="0" distT="0" distB="0" distL="114935" distR="114935" simplePos="0" locked="0" layoutInCell="0" allowOverlap="1" relativeHeight="61">
            <wp:simplePos x="0" y="0"/>
            <wp:positionH relativeFrom="column">
              <wp:posOffset>284480</wp:posOffset>
            </wp:positionH>
            <wp:positionV relativeFrom="paragraph">
              <wp:posOffset>-875665</wp:posOffset>
            </wp:positionV>
            <wp:extent cx="5481955" cy="1998980"/>
            <wp:effectExtent l="0" t="0" r="0" b="0"/>
            <wp:wrapTopAndBottom/>
            <wp:docPr id="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title=""/>
                    <pic:cNvPicPr>
                      <a:picLocks noChangeAspect="1" noChangeArrowheads="1"/>
                    </pic:cNvPicPr>
                  </pic:nvPicPr>
                  <pic:blipFill>
                    <a:blip r:embed="rId12"/>
                    <a:srcRect l="-6" t="-16" r="-6" b="-16"/>
                    <a:stretch>
                      <a:fillRect/>
                    </a:stretch>
                  </pic:blipFill>
                  <pic:spPr bwMode="auto">
                    <a:xfrm>
                      <a:off x="0" y="0"/>
                      <a:ext cx="5481955" cy="1998980"/>
                    </a:xfrm>
                    <a:prstGeom prst="rect">
                      <a:avLst/>
                    </a:prstGeom>
                    <a:noFill/>
                  </pic:spPr>
                </pic:pic>
              </a:graphicData>
            </a:graphic>
          </wp:anchor>
        </w:drawing>
      </w:r>
      <w:r>
        <w:rPr/>
        <w:t>During the AB 1890 rate freeze period</w:t>
      </w:r>
      <w:r>
        <w:rPr>
          <w:rStyle w:val="FootnoteCharacters"/>
          <w:rStyle w:val="FootnoteReference"/>
        </w:rPr>
        <w:footnoteReference w:id="18"/>
      </w:r>
      <w:r>
        <w:rPr/>
        <w:t>, on a monthly basis the estimated generation-related dedicated rate components derived above in Table II-6 will be multiplied by recorded metered kWh sales to determine the amount of revenues to be recorded in each of the four balancing accounts.  At the same time, SCE will determine its actual available generation revenues through the operation of the Modified TRA.  Total revenues (including all surcharge revenues) will be recorded in the Modified TRA each month.  The total revenue amount will then be adjusted to account for certain items such as franchise fees and uncollectibles, non</w:t>
        <w:noBreakHyphen/>
        <w:t>generation revenues and revenue requirements, restructuring implementation costs, other Commission-approved generation costs, and rate reduction bond credits through December 31, 2001.  In any given month, the revenue amount recorded in the four balancing accounts through application of the dedicated rate components will differ from the actual amount of available generation revenue determined through the operation of the Modified TRA.  These differences will be caused by:  1) differences between recorded and forecast kWh sales; 2) seasonal rate impacts</w:t>
      </w:r>
      <w:r>
        <w:rPr>
          <w:rStyle w:val="FootnoteCharacters"/>
          <w:rStyle w:val="FootnoteReference"/>
        </w:rPr>
        <w:footnoteReference w:id="19"/>
      </w:r>
      <w:r>
        <w:rPr/>
        <w:t xml:space="preserve">; and 3) changes in TRA offset amounts (e.g., non generation revenue requirements).  </w:t>
      </w:r>
    </w:p>
    <w:p>
      <w:pPr>
        <w:pStyle w:val="Heading1Text"/>
        <w:ind w:firstLine="1440" w:end="0"/>
        <w:rPr/>
      </w:pPr>
      <w:r>
        <w:rPr/>
        <w:t xml:space="preserve">SCE proposes to allocate any differences between monthly revenues recorded directly in the four balancing accounts through application of the dedicated rate components and monthly revenues determined through the operation of the Modified TRA by an equal percent.  For example, assume that the monthly generation revenues determined through the operation of the TRA is 11 cents per kWh and the sum of the generation-related dedicated rate components is 10 cents per kWh.  In this case SCE’s realized generation-related rate is one cent or ten percent greater than the sum of the generation-related dedicated rate components.  Therefore, under SCE’s proposal an additional revenue amount equal to ten percent of the revenues determined by the generation-related dedicated rates would be added to each balancing account.  The sum of the revenues recorded each month in the four balancing accounts will always be equal to the amount of revenues determined in the Modified TRA.  </w:t>
      </w:r>
    </w:p>
    <w:p>
      <w:pPr>
        <w:pStyle w:val="Heading3"/>
        <w:numPr>
          <w:ilvl w:val="2"/>
          <w:numId w:val="2"/>
        </w:numPr>
        <w:ind w:hanging="0" w:start="0"/>
        <w:rPr/>
      </w:pPr>
      <w:bookmarkStart w:id="18" w:name="__RefHeading___Toc517698393"/>
      <w:bookmarkEnd w:id="18"/>
      <w:r>
        <w:rPr/>
        <w:t>Generation-Related Dedicated Rate Components Post AB 1890 Rate Freeze</w:t>
      </w:r>
    </w:p>
    <w:p>
      <w:pPr>
        <w:pStyle w:val="Heading1Text"/>
        <w:ind w:firstLine="1440" w:end="0"/>
        <w:rPr/>
      </w:pPr>
      <w:r>
        <w:rPr/>
        <w:t>As discussed in the section above, a Modified TRA and allocation of revenue differences will remain necessary until the AB 1890 rate freeze has ended.  Upon ending the AB 1890 rate freeze, the four generation-related dedicated rate components can be established as new billing factors and the Modified TRA may be eliminated since available generation revenues will no longer need to be determined residually.  Thus, SCE revenues would be billed and reported based on the four generation-related categories – SCE own generation, SCE purchase power contracts, Procurement, and ISO charges – and recorded directly to the applicable balancing account.</w:t>
      </w:r>
    </w:p>
    <w:p>
      <w:pPr>
        <w:pStyle w:val="Heading2"/>
        <w:numPr>
          <w:ilvl w:val="1"/>
          <w:numId w:val="2"/>
        </w:numPr>
        <w:ind w:hanging="0" w:start="0"/>
        <w:rPr/>
      </w:pPr>
      <w:bookmarkStart w:id="19" w:name="__RefHeading___Toc517698394"/>
      <w:bookmarkEnd w:id="19"/>
      <w:r>
        <w:rPr/>
        <w:t>Disposition Of Balancing Account Balances</w:t>
      </w:r>
    </w:p>
    <w:p>
      <w:pPr>
        <w:pStyle w:val="Heading1Text"/>
        <w:rPr/>
      </w:pPr>
      <w:r>
        <w:rPr/>
        <w:t>In order to ensure that any overcollection or undercollection of the costs recorded in the four balancing accounts will be reconciled on a timely basis, SCE proposes to establish 1) an annual rate true-up mechanism; and 2) a trigger mechanism.</w:t>
      </w:r>
    </w:p>
    <w:p>
      <w:pPr>
        <w:pStyle w:val="Heading1Text"/>
        <w:rPr/>
      </w:pPr>
      <w:r>
        <w:rPr/>
        <w:t>SCE’s preferred approach is to implement the annual rate true-up mechanism through the advice letter process.  SCE proposes that on November 15</w:t>
      </w:r>
      <w:r>
        <w:rPr>
          <w:vertAlign w:val="superscript"/>
        </w:rPr>
        <w:t>th</w:t>
      </w:r>
      <w:r>
        <w:rPr/>
        <w:t xml:space="preserve"> of each year, SCE will file an advice letter that will set forth the estimated revenue requirements and associated generation-related dedicated rate components for the twelve-month period beginning January 1 of the subsequent year.  The revenue requirements will include estimated balances in each applicable balancing account at December 31 of the current year and will become effective January 1 of the subsequent year.  </w:t>
      </w:r>
    </w:p>
    <w:p>
      <w:pPr>
        <w:pStyle w:val="Heading1Text"/>
        <w:rPr/>
      </w:pPr>
      <w:r>
        <w:rPr/>
        <w:t>Because the annual rate true-up mechanism described above may be insufficient in disposing of material over or undercollected balances that may occur throughout the course of the year, SCE proposes to establish a trigger mechanism to dispose of such balances more frequently.  This ratemaking trigger mechanism is necessary to help SCE return its bond rating to investment grade by preventing significant undercollection of SCE’s generation-related costs.  SCE proposes that if at the end of any month the sum of the SCEOGBA, SCECBA, PCBA, and ISOBA balances is equal to or greater than $500 million either over or undercollected, SCE will notify the Commission through advice filing of the rate adjustment that is necessary to either recover or refund the net balances to customers.  It is SCE’s proposal that such advice letter will become effective 30 days after the filing date.  On the effective date, SCE will change rates or surcharges to amortize the over or undercollected balances over the succeeding twelve-month period.</w:t>
      </w:r>
      <w:r>
        <w:rPr>
          <w:rStyle w:val="FootnoteCharacters"/>
          <w:rStyle w:val="FootnoteReference"/>
        </w:rPr>
        <w:footnoteReference w:id="20"/>
      </w:r>
      <w:r>
        <w:rPr/>
        <w:t xml:space="preserve">  After the first time the conditions in the Generation Rate Trigger Mechanism have been met, the net balances will be reviewed at the end of each subsequent calendar quarter (instead of monthly) thereafter to determine if additional rate changes are required.</w:t>
      </w:r>
      <w:r>
        <w:rPr>
          <w:rStyle w:val="FootnoteCharacters"/>
          <w:rStyle w:val="FootnoteReference"/>
        </w:rPr>
        <w:footnoteReference w:id="21"/>
      </w:r>
    </w:p>
    <w:p>
      <w:pPr>
        <w:pStyle w:val="Heading2"/>
        <w:numPr>
          <w:ilvl w:val="1"/>
          <w:numId w:val="2"/>
        </w:numPr>
        <w:ind w:hanging="0" w:start="0"/>
        <w:rPr/>
      </w:pPr>
      <w:bookmarkStart w:id="20" w:name="__RefHeading___Toc517698395"/>
      <w:bookmarkEnd w:id="20"/>
      <w:r>
        <w:rPr/>
        <w:t>Financial Importance Of Balancing Account And Trigger Mechanisms For Generation Cost Recovery</w:t>
      </w:r>
    </w:p>
    <w:p>
      <w:pPr>
        <w:pStyle w:val="Heading2Text"/>
        <w:rPr/>
      </w:pPr>
      <w:r>
        <w:rPr/>
        <w:t xml:space="preserve">Commission approval of SCE’s proposals for URG cost recovery and the associated balancing accounts and trigger mechanisms are critical to returning SCE to creditworthy status.  Steady cash flows and stable earnings are prerequisites to maintaining any utility’s investment grade credit rating, and are even more important for SCE at this time. SCE’s present financial condition can only be described as dire, as it lacks any means to obtain funds from the capital markets or other lenders.  The cost recovery proposals described in this filing are an important first step to putting SCE on the road to financial health. </w:t>
      </w:r>
    </w:p>
    <w:p>
      <w:pPr>
        <w:pStyle w:val="Heading2Text"/>
        <w:rPr/>
      </w:pPr>
      <w:r>
        <w:rPr/>
        <w:t>Historically, regulatory assurances of prompt cost recovery through the Energy Cost Adjustment Clause (ECAC) balancing accounts allowed SCE to procure the fuel and purchased power necessary to provide certainty of supply to customers at a reasonable cost of capital.  Now, with the restructuring of the electric industry, certainty of prompt cost recovery is even more critical due to the increased importance of the power procurement function.  As described in other SCE filings,</w:t>
      </w:r>
      <w:r>
        <w:rPr>
          <w:rStyle w:val="FootnoteCharacters"/>
          <w:rStyle w:val="FootnoteReference"/>
        </w:rPr>
        <w:footnoteReference w:id="22"/>
      </w:r>
      <w:r>
        <w:rPr/>
        <w:t xml:space="preserve"> without a strong credit rating SCE will be at a distinct disadvantage in contracting for power supplies and may be foreclosed entirely from desirable procurement options, including long-term contracts.</w:t>
      </w:r>
    </w:p>
    <w:p>
      <w:pPr>
        <w:pStyle w:val="Heading3"/>
        <w:numPr>
          <w:ilvl w:val="2"/>
          <w:numId w:val="2"/>
        </w:numPr>
        <w:ind w:hanging="0" w:start="0"/>
        <w:rPr/>
      </w:pPr>
      <w:bookmarkStart w:id="21" w:name="__RefHeading___Toc517698396"/>
      <w:bookmarkEnd w:id="21"/>
      <w:r>
        <w:rPr/>
        <w:t>Balancing Account Precedents</w:t>
      </w:r>
    </w:p>
    <w:p>
      <w:pPr>
        <w:pStyle w:val="heading3Text"/>
        <w:rPr/>
      </w:pPr>
      <w:r>
        <w:rPr/>
        <w:t>Beginning in the 1970s, this Commission established the ECAC balancing accounts to record revenues and costs associated with power supply and procurement.  These accounts ensured that SCE would recover its costs of fuel and purchased power and gave the investment community assurance that investments in SCE would be protected from adverse consequences resulting from volatility in these costs.  In times of turmoil in fuel markets, these balancing accounts protected SCE’s credit ratings and ensured that SCE could continue to finance its fuel and power procurement. The credit rating agencies recognized that the availability of balancing accounts and prompt action by regulators to address sizable undercollections were positive attributes of California rate making, and these mechanisms supported the credit ratings adopted for the investor-owned utilities.   Ratepayers benefited from these balancing accounts and responsible Commission action because SCE’s cost of capital was correspondingly reduced.</w:t>
      </w:r>
    </w:p>
    <w:p>
      <w:pPr>
        <w:pStyle w:val="heading3Text"/>
        <w:rPr/>
      </w:pPr>
      <w:r>
        <w:rPr/>
        <w:t>SCE’s proposal to establish new balancing accounts for URG costs supports the same goal as the ECAC balancing accounts:  supporting the creditworthiness of the utility and reducing risk to investors.</w:t>
      </w:r>
      <w:r>
        <w:rPr>
          <w:rStyle w:val="FootnoteCharacters"/>
          <w:rStyle w:val="FootnoteReference"/>
        </w:rPr>
        <w:footnoteReference w:id="23"/>
      </w:r>
      <w:r>
        <w:rPr/>
        <w:t xml:space="preserve">  The triggering mechanism proposed in Section II.E to quickly adjust rates in response to large overcollections or undercollections of URG costs is necessary to provide additional assurance to investors that costs will be promptly recovered.  As described in the next sections, SCE will not be restored to creditworthiness without assurance of a clear means of cost recovery.</w:t>
      </w:r>
    </w:p>
    <w:p>
      <w:pPr>
        <w:pStyle w:val="Heading3"/>
        <w:numPr>
          <w:ilvl w:val="2"/>
          <w:numId w:val="2"/>
        </w:numPr>
        <w:ind w:hanging="0" w:start="0"/>
        <w:rPr/>
      </w:pPr>
      <w:bookmarkStart w:id="22" w:name="__RefHeading___Toc517698397"/>
      <w:bookmarkEnd w:id="22"/>
      <w:r>
        <w:rPr/>
        <w:t>Impacts On Creditors</w:t>
      </w:r>
    </w:p>
    <w:p>
      <w:pPr>
        <w:pStyle w:val="heading3Text"/>
        <w:rPr/>
      </w:pPr>
      <w:r>
        <w:rPr/>
        <w:t xml:space="preserve">This proceeding will determine SCE’s URG revenue requirement and the means for collecting it going forward.  SCE’s lenders will be watching closely for assurances that all of SCE’s URG costs will be incorporated in the authorized revenue requirement, and that these costs will be promptly recovered.  If creditors find that SCE’s cash flow is insufficient to cover its costs, the consequences could be dire.  Creditors will view insufficient cash flow as reducing the likelihood they will recover the funds owed to them, and will have an incentive to stem the negative cash flow by pushing the Company into involuntary bankruptcy.  </w:t>
      </w:r>
    </w:p>
    <w:p>
      <w:pPr>
        <w:pStyle w:val="Heading3"/>
        <w:numPr>
          <w:ilvl w:val="2"/>
          <w:numId w:val="2"/>
        </w:numPr>
        <w:ind w:hanging="0" w:start="0"/>
        <w:rPr/>
      </w:pPr>
      <w:bookmarkStart w:id="23" w:name="__RefHeading___Toc517698398"/>
      <w:bookmarkEnd w:id="23"/>
      <w:r>
        <w:rPr/>
        <w:t>Impacts On Credit Rating</w:t>
      </w:r>
    </w:p>
    <w:p>
      <w:pPr>
        <w:pStyle w:val="heading3Text"/>
        <w:rPr/>
      </w:pPr>
      <w:r>
        <w:rPr/>
        <w:t xml:space="preserve">Aside from the immediate concerns associated with  creditors, SCE faces a more fundamental concern:  An investment grade credit rating will only be regained if several events take place.  Not only must the Company’s past debts be repaid and its cash flow restored, but investors must regain confidence that the company’s financial condition will be stable going forward.  The credit rating agencies and investors in general have lost faith that the California regulatory process will be evenhanded and that SCE’s investors will not continue to be damaged by Commission decisions.  </w:t>
      </w:r>
    </w:p>
    <w:p>
      <w:pPr>
        <w:pStyle w:val="heading3Text"/>
        <w:rPr/>
      </w:pPr>
      <w:r>
        <w:rPr/>
        <w:t>The reason for this is simple.  Throughout the last half of 2000, the banks and capital markets continued to support SCE by funding its power procurement undercollections, based largely on statements by the Commission that it would support the Company’s financial integrity and on the Commission’s historical record of fair and reasonable rate recovery.  Now, SCE’s debt trades as low as  60% of its par value, and SCE has defaulted on billions of dollars in payments to creditors.  The rating agencies, too, maintained SCE’s rating in the face of significant undercollections, only reducing it in January 2001 when it became apparent that rates would not be raised enough to save the Company.  The rating agencies and investors alike had faith that California policy makers would resolve this crisis without severely damaging the utilities, and they have been burned by the events that unfolded.</w:t>
      </w:r>
    </w:p>
    <w:p>
      <w:pPr>
        <w:pStyle w:val="heading3Text"/>
        <w:rPr/>
      </w:pPr>
      <w:r>
        <w:rPr/>
        <w:t>It will take time, potentially years, for investors’ faith in California regulation to be restored.  For SCE to be able to return to full function, the CPUC must take the necessary steps now to mend fences.  To do otherwise is to jeopardize SCE’s ability to procure power and make necessary capital investments in the future.</w:t>
      </w:r>
      <w:r>
        <w:br w:type="page"/>
      </w:r>
    </w:p>
    <w:p>
      <w:pPr>
        <w:pStyle w:val="Heading1"/>
        <w:numPr>
          <w:ilvl w:val="0"/>
          <w:numId w:val="2"/>
        </w:numPr>
        <w:rPr/>
      </w:pPr>
      <w:r>
        <w:rPr/>
        <w:br/>
      </w:r>
      <w:bookmarkStart w:id="24" w:name="__RefHeading___Toc517698399"/>
      <w:r>
        <w:rPr/>
        <w:t>SUPPORT FOR SCE’s URG PROPOSAL</w:t>
      </w:r>
      <w:bookmarkEnd w:id="24"/>
    </w:p>
    <w:p>
      <w:pPr>
        <w:pStyle w:val="Heading2Text"/>
        <w:rPr/>
      </w:pPr>
      <w:r>
        <w:rPr/>
        <w:t>This chapter supports the cost estimates used to determine the URG revenue requirements dedicated rate components discussed by Ms. Dominski in Chapter II.  SCE’s generation-related costs estimated to be incurred during 2002 are associated with the following:</w:t>
      </w:r>
    </w:p>
    <w:p>
      <w:pPr>
        <w:pStyle w:val="Heading2Text"/>
        <w:numPr>
          <w:ilvl w:val="0"/>
          <w:numId w:val="5"/>
        </w:numPr>
        <w:rPr/>
      </w:pPr>
      <w:r>
        <w:rPr/>
        <w:t>SCE Owned Generation</w:t>
      </w:r>
    </w:p>
    <w:p>
      <w:pPr>
        <w:pStyle w:val="Heading2Text"/>
        <w:numPr>
          <w:ilvl w:val="0"/>
          <w:numId w:val="5"/>
        </w:numPr>
        <w:rPr/>
      </w:pPr>
      <w:r>
        <w:rPr/>
        <w:t>QFs</w:t>
      </w:r>
    </w:p>
    <w:p>
      <w:pPr>
        <w:pStyle w:val="Heading2Text"/>
        <w:numPr>
          <w:ilvl w:val="0"/>
          <w:numId w:val="5"/>
        </w:numPr>
        <w:rPr/>
      </w:pPr>
      <w:r>
        <w:rPr/>
        <w:t>Bilateral Contracts</w:t>
      </w:r>
    </w:p>
    <w:p>
      <w:pPr>
        <w:pStyle w:val="Heading2Text"/>
        <w:numPr>
          <w:ilvl w:val="0"/>
          <w:numId w:val="5"/>
        </w:numPr>
        <w:rPr/>
      </w:pPr>
      <w:r>
        <w:rPr/>
        <w:t>Payments Remitted to DWR</w:t>
      </w:r>
    </w:p>
    <w:p>
      <w:pPr>
        <w:pStyle w:val="Heading2Text"/>
        <w:numPr>
          <w:ilvl w:val="0"/>
          <w:numId w:val="5"/>
        </w:numPr>
        <w:rPr/>
      </w:pPr>
      <w:r>
        <w:rPr/>
        <w:t>ISO-Related Charges</w:t>
      </w:r>
    </w:p>
    <w:p>
      <w:pPr>
        <w:pStyle w:val="Heading3"/>
        <w:numPr>
          <w:ilvl w:val="2"/>
          <w:numId w:val="2"/>
        </w:numPr>
        <w:ind w:hanging="0" w:start="0"/>
        <w:rPr/>
      </w:pPr>
      <w:bookmarkStart w:id="25" w:name="__RefHeading___Toc517698400"/>
      <w:bookmarkEnd w:id="25"/>
      <w:r>
        <w:rPr/>
        <w:t>SCE Owned Generation</w:t>
      </w:r>
    </w:p>
    <w:p>
      <w:pPr>
        <w:pStyle w:val="heading3Text"/>
        <w:rPr/>
      </w:pPr>
      <w:r>
        <w:rPr/>
        <w:t>In compliance with AB X1-6, SCE has retained its assets associated with the following generating stations:</w:t>
      </w:r>
    </w:p>
    <w:p>
      <w:pPr>
        <w:pStyle w:val="heading3Text"/>
        <w:numPr>
          <w:ilvl w:val="0"/>
          <w:numId w:val="7"/>
        </w:numPr>
        <w:rPr/>
      </w:pPr>
      <w:r>
        <w:rPr/>
        <w:t>SONGS</w:t>
      </w:r>
    </w:p>
    <w:p>
      <w:pPr>
        <w:pStyle w:val="heading3Text"/>
        <w:numPr>
          <w:ilvl w:val="0"/>
          <w:numId w:val="7"/>
        </w:numPr>
        <w:rPr/>
      </w:pPr>
      <w:r>
        <w:rPr/>
        <w:t>Palo Verde</w:t>
      </w:r>
    </w:p>
    <w:p>
      <w:pPr>
        <w:pStyle w:val="heading3Text"/>
        <w:numPr>
          <w:ilvl w:val="0"/>
          <w:numId w:val="7"/>
        </w:numPr>
        <w:rPr/>
      </w:pPr>
      <w:r>
        <w:rPr/>
        <w:t>Mohave</w:t>
      </w:r>
    </w:p>
    <w:p>
      <w:pPr>
        <w:pStyle w:val="heading3Text"/>
        <w:numPr>
          <w:ilvl w:val="0"/>
          <w:numId w:val="7"/>
        </w:numPr>
        <w:rPr/>
      </w:pPr>
      <w:r>
        <w:rPr/>
        <w:t>Four Corners</w:t>
      </w:r>
    </w:p>
    <w:p>
      <w:pPr>
        <w:pStyle w:val="heading3Text"/>
        <w:numPr>
          <w:ilvl w:val="0"/>
          <w:numId w:val="7"/>
        </w:numPr>
        <w:rPr/>
      </w:pPr>
      <w:r>
        <w:rPr/>
        <w:t>Hydro</w:t>
      </w:r>
    </w:p>
    <w:p>
      <w:pPr>
        <w:pStyle w:val="heading3Text"/>
        <w:numPr>
          <w:ilvl w:val="0"/>
          <w:numId w:val="7"/>
        </w:numPr>
        <w:rPr/>
      </w:pPr>
      <w:r>
        <w:rPr/>
        <w:t>Catalina</w:t>
      </w:r>
    </w:p>
    <w:p>
      <w:pPr>
        <w:pStyle w:val="heading3Text"/>
        <w:ind w:hanging="0" w:end="0"/>
        <w:rPr/>
      </w:pPr>
      <w:r>
        <w:rPr/>
        <w:t>SCE will retain these assets to serve its customers’ load through 2010.  Table III-1 below is a summary of SCE’s estimated production costs associated with its retained generation assets.</w:t>
      </w:r>
      <w:r>
        <w:br w:type="page"/>
      </w:r>
    </w:p>
    <w:p>
      <w:pPr>
        <w:pStyle w:val="heading3Text"/>
        <w:ind w:hanging="0" w:end="0"/>
        <w:rPr/>
      </w:pPr>
      <w:r>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-1</w:t>
              <w:br/>
              <w:t>Estimated 2002 Retained Generation Production Costs</w:t>
              <w:br/>
              <w:t>($000)</w:t>
            </w:r>
          </w:p>
        </w:tc>
      </w:tr>
      <w:tr>
        <w:trPr/>
        <w:tc>
          <w:tcPr>
            <w:tcW w:w="9576" w:type="dxa"/>
            <w:tcBorders/>
          </w:tcPr>
          <w:p>
            <w:pPr>
              <w:pStyle w:val="Normal"/>
              <w:snapToGrid w:val="false"/>
              <w:rPr/>
            </w:pPr>
            <w:r>
              <w:rPr/>
              <w:drawing>
                <wp:anchor behindDoc="0" distT="0" distB="0" distL="114935" distR="114935" simplePos="0" locked="0" layoutInCell="0" allowOverlap="1" relativeHeight="62">
                  <wp:simplePos x="0" y="0"/>
                  <wp:positionH relativeFrom="margin">
                    <wp:posOffset>165735</wp:posOffset>
                  </wp:positionH>
                  <wp:positionV relativeFrom="paragraph">
                    <wp:posOffset>635</wp:posOffset>
                  </wp:positionV>
                  <wp:extent cx="5483225" cy="3268980"/>
                  <wp:effectExtent l="0" t="0" r="0" b="0"/>
                  <wp:wrapTopAndBottom/>
                  <wp:docPr id="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title=""/>
                          <pic:cNvPicPr>
                            <a:picLocks noChangeAspect="1" noChangeArrowheads="1"/>
                          </pic:cNvPicPr>
                        </pic:nvPicPr>
                        <pic:blipFill>
                          <a:blip r:embed="rId13"/>
                          <a:srcRect l="-4" t="-7" r="-4" b="-7"/>
                          <a:stretch>
                            <a:fillRect/>
                          </a:stretch>
                        </pic:blipFill>
                        <pic:spPr bwMode="auto">
                          <a:xfrm>
                            <a:off x="0" y="0"/>
                            <a:ext cx="5483225" cy="3268980"/>
                          </a:xfrm>
                          <a:prstGeom prst="rect">
                            <a:avLst/>
                          </a:prstGeom>
                          <a:noFill/>
                        </pic:spPr>
                      </pic:pic>
                    </a:graphicData>
                  </a:graphic>
                </wp:anchor>
              </w:drawing>
            </w:r>
          </w:p>
        </w:tc>
      </w:tr>
    </w:tbl>
    <w:p>
      <w:pPr>
        <w:pStyle w:val="heading3Text"/>
        <w:ind w:hanging="0" w:end="0"/>
        <w:rPr/>
      </w:pPr>
      <w:r>
        <w:rPr/>
      </w:r>
    </w:p>
    <w:p>
      <w:pPr>
        <w:pStyle w:val="Heading4"/>
        <w:numPr>
          <w:ilvl w:val="3"/>
          <w:numId w:val="2"/>
        </w:numPr>
        <w:ind w:hanging="0" w:start="0"/>
        <w:rPr/>
      </w:pPr>
      <w:bookmarkStart w:id="26" w:name="__RefHeading___Toc517698401"/>
      <w:bookmarkEnd w:id="26"/>
      <w:r>
        <w:rPr/>
        <w:t>SONGS</w:t>
      </w:r>
    </w:p>
    <w:p>
      <w:pPr>
        <w:pStyle w:val="heading4Text"/>
        <w:rPr/>
      </w:pPr>
      <w:r>
        <w:rPr/>
        <w:t>SCE is the operating agent and 75.05% co-owner of SONGS 2&amp;3.  The generation forecast for SONGS 2&amp;3 assumes a capacity factor of 88%, an estimated 45 day spring 2002 refueling for Unit 2, and an allowance for unplanned outages at both units.  This forecast will result in production of 12,500 GWh.</w:t>
      </w:r>
    </w:p>
    <w:p>
      <w:pPr>
        <w:pStyle w:val="Heading2Text"/>
        <w:rPr/>
      </w:pPr>
      <w:r>
        <w:rPr/>
        <w:t>The 2002 cost forecast for SONGS 2&amp;3 uses the authorized ICIP price of 4.15 cents/kWh, plus the A&amp;G adder of 0.21 cents/kWh, resulting in estimated ICIP revenues of $545 million.  In addition, using a ten-year amortization period for the remaining December 31, 2000 plant balance, the capital-related cost is estimated to be $104.408 million.  The combined O&amp;M and capital-related forecast costs for SONGS 2&amp;3 in 2002 is $649.408 million.</w:t>
      </w:r>
    </w:p>
    <w:p>
      <w:pPr>
        <w:pStyle w:val="Heading4"/>
        <w:numPr>
          <w:ilvl w:val="3"/>
          <w:numId w:val="2"/>
        </w:numPr>
        <w:ind w:hanging="0" w:start="0"/>
        <w:rPr/>
      </w:pPr>
      <w:bookmarkStart w:id="27" w:name="__RefHeading___Toc517698402"/>
      <w:bookmarkEnd w:id="27"/>
      <w:r>
        <w:rPr/>
        <w:t>Palo Verde</w:t>
      </w:r>
    </w:p>
    <w:p>
      <w:pPr>
        <w:pStyle w:val="heading4Text"/>
        <w:rPr/>
      </w:pPr>
      <w:r>
        <w:rPr/>
        <w:t>SCE owns a 15.8% share (590 MW) of Palo Verde Nuclear Generating Station, which is operated by Arizona Public Service (APS) Company.  The forecast generation for Palo Verde is likewise based upon recent experience, assumes one refueling in 2002, and an allowance for forced or unplanned outages for an expected site capacity factor of 88% or 4,550 GWh (SCE’s share).</w:t>
      </w:r>
    </w:p>
    <w:p>
      <w:pPr>
        <w:pStyle w:val="Heading2Text"/>
        <w:rPr/>
      </w:pPr>
      <w:r>
        <w:rPr/>
        <w:t>The cost forecast for Palo Verde uses the budget prepared by APS, adjusted for certain SCE costs such as scheduling and dispatching, resulting in an estimate of $118.325 million.  In addition, SCE used a ten-year amortization period for the remaining December 31, 2000 plant balance, which results in an estimated capital-related cost of $66.380 million.  The total Palo Verde cost estimate for 2002 is $184.705 million.</w:t>
      </w:r>
    </w:p>
    <w:p>
      <w:pPr>
        <w:pStyle w:val="Heading4"/>
        <w:numPr>
          <w:ilvl w:val="3"/>
          <w:numId w:val="2"/>
        </w:numPr>
        <w:ind w:hanging="0" w:start="0"/>
        <w:rPr/>
      </w:pPr>
      <w:bookmarkStart w:id="28" w:name="__RefHeading___Toc517698403"/>
      <w:bookmarkEnd w:id="28"/>
      <w:r>
        <w:rPr/>
        <w:t>Mohave</w:t>
      </w:r>
    </w:p>
    <w:p>
      <w:pPr>
        <w:pStyle w:val="heading4Text"/>
        <w:rPr/>
      </w:pPr>
      <w:r>
        <w:rPr/>
        <w:t>The Mohave Generating Station, located in Laughlin, Nevada, is a coal-fired resource operated by SCE.  The plant has an operating capacity of 1,580 MW, of which SCE owns 56%, or 884.8 MW.  In 2002, SCE estimates that Mohave will operate at a capacity factor of 73%, and produce 5,660 GWh.  The forecast of Mohave generation is based upon recent operating history of the plant, recognizes a planned outage in 2002 and an allowance for unplanned outages.</w:t>
      </w:r>
    </w:p>
    <w:p>
      <w:pPr>
        <w:pStyle w:val="heading4Text"/>
        <w:rPr/>
      </w:pPr>
      <w:r>
        <w:rPr/>
        <w:t>The forecast costs for Mohave are based upon recent recorded history, with adjustments.  In preparing this estimate, SCE recognized the fact it will retain Mohave in the utility, consistent with recent legislation and the MOU.  The operating cost estimate for 2002 for Mohave is $155.368 million.  The capital-related forecast, including recovery of the remaining December 31, 2000 plant balance over Mohave’s remaining life of 16-years is $24.702 million.  Therefore, the total Mohave cost estimate for 2002 is $180.070 million.</w:t>
      </w:r>
    </w:p>
    <w:p>
      <w:pPr>
        <w:pStyle w:val="Heading4"/>
        <w:numPr>
          <w:ilvl w:val="3"/>
          <w:numId w:val="2"/>
        </w:numPr>
        <w:ind w:hanging="0" w:start="0"/>
        <w:rPr/>
      </w:pPr>
      <w:bookmarkStart w:id="29" w:name="__RefHeading___Toc517698404"/>
      <w:bookmarkEnd w:id="29"/>
      <w:r>
        <w:rPr/>
        <w:t>Four Corners</w:t>
      </w:r>
    </w:p>
    <w:p>
      <w:pPr>
        <w:pStyle w:val="heading3Text"/>
        <w:ind w:firstLine="2160" w:end="0"/>
        <w:rPr/>
      </w:pPr>
      <w:r>
        <w:rPr/>
        <w:t>Four Corners generating station is coal-fired as well, located in Fruitland, New Mexico.  This plant is operated by APS, and SCE owns 753.6 MW, or 48% of Units 4&amp;5.  The 2002 generation forecast for Four Corners is also based upon recent operating history, and a planned outage for Unit 5 scheduled in early 2002.  SCE forecasts a capacity factor of 79%, which results in production of 4,687 GWh.  The cost forecast used for Four Corners is based upon recent recorded history, together with the outage and budget data from APS.  The operating cost estimate for 2002 for Four Corners is $117.600 million.  The capital-related forecast, including recovery of the remaining December 31, 2000 plant balance over Four Corners remaining life of 15-years is $32.630 million.  Therefore, the Four Corners cost estimate for 2002 is $150.230 million.</w:t>
      </w:r>
    </w:p>
    <w:p>
      <w:pPr>
        <w:pStyle w:val="Heading4"/>
        <w:numPr>
          <w:ilvl w:val="3"/>
          <w:numId w:val="2"/>
        </w:numPr>
        <w:ind w:hanging="0" w:start="0"/>
        <w:rPr/>
      </w:pPr>
      <w:bookmarkStart w:id="30" w:name="__RefHeading___Toc517698405"/>
      <w:bookmarkEnd w:id="30"/>
      <w:r>
        <w:rPr/>
        <w:t>Hydro</w:t>
      </w:r>
    </w:p>
    <w:p>
      <w:pPr>
        <w:pStyle w:val="heading4Text"/>
        <w:rPr/>
      </w:pPr>
      <w:r>
        <w:rPr/>
        <w:t>The operating cost forecast for the Hydroelectric plants for 2002 is assumed to be the same amount as authorized by the Commission in D.97-12-102, which is $45.094 million.  The capital-related forecast, including recovery of the remaining December 31, 2000 plant balance over the assets remaining life of 40 years is $83.827 million.  Therefore, the total hydro</w:t>
        <w:noBreakHyphen/>
        <w:t>related cost estimate for 2002 is $128.921 million.  The generation forecast for 2002 is based on a “normal” year of precipitation.</w:t>
      </w:r>
    </w:p>
    <w:p>
      <w:pPr>
        <w:pStyle w:val="Heading4"/>
        <w:numPr>
          <w:ilvl w:val="3"/>
          <w:numId w:val="2"/>
        </w:numPr>
        <w:ind w:hanging="0" w:start="0"/>
        <w:rPr/>
      </w:pPr>
      <w:bookmarkStart w:id="31" w:name="__RefHeading___Toc517698406"/>
      <w:bookmarkEnd w:id="31"/>
      <w:r>
        <w:rPr/>
        <w:t>Catalina</w:t>
      </w:r>
    </w:p>
    <w:p>
      <w:pPr>
        <w:pStyle w:val="heading3Text"/>
        <w:ind w:firstLine="2160" w:end="0"/>
        <w:rPr>
          <w:b/>
        </w:rPr>
      </w:pPr>
      <w:r>
        <w:rPr>
          <w:color w:val="000000"/>
        </w:rPr>
        <w:t>The Pebbly Beach Generating Station is the sole source of electric generation on Catalina and this isolated system provides electric power for the entire island.  The Generating Station's major equipment systems include six power generating units with a total capacity of 9325 kW and a maximum dependable output of 6525 kW.  The operating costs forecast for the Pebbly Beach units for 2002 is based on recent trends and is $5.377 million and the capital-related forecast is $1.623 million.</w:t>
      </w:r>
    </w:p>
    <w:p>
      <w:pPr>
        <w:pStyle w:val="Heading3"/>
        <w:numPr>
          <w:ilvl w:val="2"/>
          <w:numId w:val="2"/>
        </w:numPr>
        <w:ind w:hanging="0" w:start="0"/>
        <w:rPr/>
      </w:pPr>
      <w:bookmarkStart w:id="32" w:name="__RefHeading___Toc517698407"/>
      <w:bookmarkEnd w:id="32"/>
      <w:r>
        <w:rPr/>
        <w:t>Qualifying Facility Payments</w:t>
      </w:r>
    </w:p>
    <w:p>
      <w:pPr>
        <w:pStyle w:val="heading3Text"/>
        <w:rPr/>
      </w:pPr>
      <w:r>
        <w:rPr/>
        <w:t>SCE purchases electricity from approximately 320 QFs, which are paid energy and capacity payments for the electricity they deliver, and makes payments under a number of other agreements proving for the restructuring of QF contracts.  SCE expects that the majority of the remaining 320 QFs will sign a settlement agreement resolving litigation associated with payments for their past deliveries.  The settlement agreement leaves in place the existing capacity payments and addresses the Short Run Avoided Cost of energy (SRAC) for those QFs whose contracts mandate that the energy pricing shall be the CPUC</w:t>
        <w:noBreakHyphen/>
        <w:t>approved SRAC prices.</w:t>
      </w:r>
    </w:p>
    <w:p>
      <w:pPr>
        <w:pStyle w:val="heading3Text"/>
        <w:rPr/>
      </w:pPr>
      <w:r>
        <w:rPr/>
        <w:t>For gas</w:t>
        <w:noBreakHyphen/>
        <w:t>fired cogeneration QFs, SRAC is calculated using the SRAC transition formula that has been in place since March 2001, modified to reflect a higher heat rate, a gas price based on the Topac border indices, and a higher O&amp;M adder.  For renewable QFs, energy deliveries that are subject to SRAC are calculated though an assumed fixed price implementation date of September 30, 2001 using the SRAC transition formula that has been in place since March 27, 2001.  Thereafter, the SRAC energy price is 5.37 cents/kWh through the remainder of the forecast period.</w:t>
      </w:r>
    </w:p>
    <w:p>
      <w:pPr>
        <w:pStyle w:val="heading3Text"/>
        <w:rPr/>
      </w:pPr>
      <w:r>
        <w:rPr/>
        <w:t xml:space="preserve">For the calendar year 2002, SCE forecasts its QF purchases and QF restructuring payments to be approximately $2.338 billion.  </w:t>
      </w:r>
    </w:p>
    <w:p>
      <w:pPr>
        <w:pStyle w:val="Heading3"/>
        <w:numPr>
          <w:ilvl w:val="2"/>
          <w:numId w:val="2"/>
        </w:numPr>
        <w:ind w:hanging="0" w:start="0"/>
        <w:rPr/>
      </w:pPr>
      <w:bookmarkStart w:id="33" w:name="__RefHeading___Toc517698408"/>
      <w:bookmarkEnd w:id="33"/>
      <w:r>
        <w:rPr/>
        <w:t>Bilateral Contracts</w:t>
      </w:r>
    </w:p>
    <w:p>
      <w:pPr>
        <w:pStyle w:val="Heading4"/>
        <w:numPr>
          <w:ilvl w:val="3"/>
          <w:numId w:val="2"/>
        </w:numPr>
        <w:ind w:hanging="0" w:start="0"/>
        <w:rPr/>
      </w:pPr>
      <w:bookmarkStart w:id="34" w:name="__RefHeading___Toc517698409"/>
      <w:bookmarkEnd w:id="34"/>
      <w:r>
        <w:rPr/>
        <w:t>Interutility Contracts</w:t>
      </w:r>
    </w:p>
    <w:p>
      <w:pPr>
        <w:pStyle w:val="heading4Text"/>
        <w:rPr/>
      </w:pPr>
      <w:r>
        <w:rPr/>
        <w:t xml:space="preserve">SCE is a party to eleven long-term purchase, sale, and exchange agreements (interutility contracts) with nine counterparties that were effective on or before the startup of the ISO and PX markets on March 31, 1998.   Costs to SCE that may be incurred pursuant to the terms of the interutility contracts include (1) payments for capacity, energy, and transmission service, (2) costs of energy and ancillary services required for contractually mandated deliveries to counterparties (for sale and exchange contracts) provided by SCE from utility retained generation or market sources,  (4) credit and collateral support, (5) a termination payment to Portland General Electric, (6) costs of personnel to support contract administration, including contract management and litigation, and (7) other costs such as those associated with project operation of contract resources.  Revenues accruing to SCE include (1) capacity and energy payments from counterparties and (2) revenues from selling energy and ancillary services to markets or bilateral counterparties.  </w:t>
      </w:r>
    </w:p>
    <w:p>
      <w:pPr>
        <w:pStyle w:val="heading4Text"/>
        <w:rPr/>
      </w:pPr>
      <w:r>
        <w:rPr/>
        <w:t>Net cost for interutility contracts is forecasted to be $147.083 million for calendar year 2002 associated with 563 GWh of net outflow from SCE.  A table listing the interutility contracts, quantity of capacity received and/or delivered, delivery point, and dates of execution and expiration follows.</w:t>
      </w:r>
    </w:p>
    <w:tbl>
      <w:tblPr>
        <w:tblW w:w="9793" w:type="dxa"/>
        <w:jc w:val="start"/>
        <w:tblInd w:w="0" w:type="dxa"/>
        <w:tblLayout w:type="fixed"/>
        <w:tblCellMar>
          <w:top w:w="0" w:type="dxa"/>
          <w:start w:w="108" w:type="dxa"/>
          <w:bottom w:w="0" w:type="dxa"/>
          <w:end w:w="108" w:type="dxa"/>
        </w:tblCellMar>
      </w:tblPr>
      <w:tblGrid>
        <w:gridCol w:w="198"/>
        <w:gridCol w:w="1881"/>
        <w:gridCol w:w="1190"/>
        <w:gridCol w:w="1273"/>
        <w:gridCol w:w="1149"/>
        <w:gridCol w:w="1512"/>
        <w:gridCol w:w="1295"/>
        <w:gridCol w:w="1078"/>
        <w:gridCol w:w="217"/>
      </w:tblGrid>
      <w:tr>
        <w:trPr/>
        <w:tc>
          <w:tcPr>
            <w:tcW w:w="9576" w:type="dxa"/>
            <w:gridSpan w:val="8"/>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-2</w:t>
              <w:br/>
              <w:t>SCE Interutility Contracts</w:t>
            </w:r>
          </w:p>
        </w:tc>
        <w:tc>
          <w:tcPr>
            <w:tcW w:w="217" w:type="dxa"/>
            <w:tcBorders/>
            <w:tcMar>
              <w:start w:w="0" w:type="dxa"/>
              <w:end w:w="0" w:type="dxa"/>
            </w:tcMar>
          </w:tcPr>
          <w:p>
            <w:pPr>
              <w:pStyle w:val="Normal"/>
              <w:snapToGrid w:val="false"/>
              <w:rPr/>
            </w:pPr>
            <w:r>
              <w:rPr/>
            </w:r>
          </w:p>
        </w:tc>
      </w:tr>
      <w:tr>
        <w:trPr/>
        <w:tc>
          <w:tcPr>
            <w:tcW w:w="9576" w:type="dxa"/>
            <w:gridSpan w:val="8"/>
            <w:tcBorders/>
          </w:tcPr>
          <w:p>
            <w:pPr>
              <w:pStyle w:val="Normal"/>
              <w:keepNext w:val="true"/>
              <w:keepLines/>
              <w:snapToGrid w:val="false"/>
              <w:rPr/>
            </w:pPr>
            <w:r>
              <w:rPr/>
            </w:r>
          </w:p>
        </w:tc>
        <w:tc>
          <w:tcPr>
            <w:tcW w:w="217" w:type="dxa"/>
            <w:tcBorders/>
            <w:tcMar>
              <w:start w:w="0" w:type="dxa"/>
              <w:end w:w="0" w:type="dxa"/>
            </w:tcMar>
          </w:tcPr>
          <w:p>
            <w:pPr>
              <w:pStyle w:val="Normal"/>
              <w:snapToGrid w:val="false"/>
              <w:rPr/>
            </w:pPr>
            <w:r>
              <w:rPr/>
            </w:r>
          </w:p>
        </w:tc>
      </w:tr>
      <w:tr>
        <w:trPr/>
        <w:tc>
          <w:tcPr>
            <w:tcW w:w="198" w:type="dxa"/>
            <w:tcBorders/>
            <w:tcMar>
              <w:start w:w="0" w:type="dxa"/>
              <w:end w:w="0" w:type="dxa"/>
            </w:tcMar>
          </w:tcPr>
          <w:p>
            <w:pPr>
              <w:pStyle w:val="TableContents"/>
              <w:rPr/>
            </w:pPr>
            <w:r>
              <w:rPr/>
            </w:r>
          </w:p>
        </w:tc>
        <w:tc>
          <w:tcPr>
            <w:tcW w:w="1881" w:type="dxa"/>
            <w:tcBorders>
              <w:top w:val="single" w:sz="4" w:space="0" w:color="000000"/>
              <w:start w:val="single" w:sz="4" w:space="0" w:color="000000"/>
              <w:bottom w:val="single" w:sz="4" w:space="0" w:color="000000"/>
              <w:end w:val="single" w:sz="4" w:space="0" w:color="000000"/>
            </w:tcBorders>
          </w:tcPr>
          <w:p>
            <w:pPr>
              <w:pStyle w:val="Normal"/>
              <w:keepNext w:val="true"/>
              <w:keepLines/>
              <w:rPr>
                <w:b/>
                <w:sz w:val="18"/>
              </w:rPr>
            </w:pPr>
            <w:r>
              <w:rPr>
                <w:b/>
                <w:sz w:val="18"/>
              </w:rPr>
              <w:t>Type Of Contract</w:t>
            </w:r>
          </w:p>
        </w:tc>
        <w:tc>
          <w:tcPr>
            <w:tcW w:w="1190" w:type="dxa"/>
            <w:tcBorders>
              <w:top w:val="single" w:sz="4" w:space="0" w:color="000000"/>
              <w:start w:val="single" w:sz="4" w:space="0" w:color="000000"/>
              <w:bottom w:val="single" w:sz="4" w:space="0" w:color="000000"/>
              <w:end w:val="single" w:sz="4" w:space="0" w:color="000000"/>
            </w:tcBorders>
          </w:tcPr>
          <w:p>
            <w:pPr>
              <w:pStyle w:val="Normal"/>
              <w:keepNext w:val="true"/>
              <w:keepLines/>
              <w:rPr>
                <w:b/>
                <w:sz w:val="18"/>
              </w:rPr>
            </w:pPr>
            <w:r>
              <w:rPr>
                <w:b/>
                <w:sz w:val="18"/>
              </w:rPr>
              <w:t>Agency</w:t>
            </w:r>
          </w:p>
        </w:tc>
        <w:tc>
          <w:tcPr>
            <w:tcW w:w="1273"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8"/>
              </w:rPr>
            </w:pPr>
            <w:r>
              <w:rPr>
                <w:b/>
                <w:sz w:val="18"/>
              </w:rPr>
              <w:t>(Received) Capacity (MW)</w:t>
            </w:r>
          </w:p>
        </w:tc>
        <w:tc>
          <w:tcPr>
            <w:tcW w:w="1149"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8"/>
              </w:rPr>
            </w:pPr>
            <w:r>
              <w:rPr>
                <w:b/>
                <w:sz w:val="18"/>
              </w:rPr>
              <w:t>Delivered Capacity (MW)</w:t>
            </w:r>
          </w:p>
        </w:tc>
        <w:tc>
          <w:tcPr>
            <w:tcW w:w="1512"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8"/>
              </w:rPr>
            </w:pPr>
            <w:r>
              <w:rPr>
                <w:b/>
                <w:sz w:val="18"/>
              </w:rPr>
              <w:t>Delivery/ Receipt Point(s)</w:t>
            </w:r>
          </w:p>
        </w:tc>
        <w:tc>
          <w:tcPr>
            <w:tcW w:w="1295"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8"/>
              </w:rPr>
            </w:pPr>
            <w:r>
              <w:rPr>
                <w:b/>
                <w:sz w:val="18"/>
              </w:rPr>
              <w:t>Execution Date</w:t>
            </w:r>
          </w:p>
        </w:tc>
        <w:tc>
          <w:tcPr>
            <w:tcW w:w="1295" w:type="dxa"/>
            <w:gridSpan w:val="2"/>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sz w:val="18"/>
              </w:rPr>
            </w:pPr>
            <w:r>
              <w:rPr>
                <w:b/>
                <w:sz w:val="18"/>
              </w:rPr>
              <w:t>Expiration Date</w:t>
            </w:r>
          </w:p>
        </w:tc>
      </w:tr>
      <w:tr>
        <w:trPr/>
        <w:tc>
          <w:tcPr>
            <w:tcW w:w="198" w:type="dxa"/>
            <w:tcBorders/>
            <w:tcMar>
              <w:start w:w="0" w:type="dxa"/>
              <w:end w:w="0" w:type="dxa"/>
            </w:tcMar>
          </w:tcPr>
          <w:p>
            <w:pPr>
              <w:pStyle w:val="Normal"/>
              <w:rPr>
                <w:b/>
                <w:sz w:val="18"/>
              </w:rPr>
            </w:pPr>
            <w:r>
              <w:rPr>
                <w:b/>
                <w:sz w:val="18"/>
              </w:rPr>
            </w:r>
          </w:p>
        </w:tc>
        <w:tc>
          <w:tcPr>
            <w:tcW w:w="188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Termination Agreement</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PGE</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12/1/03</w:t>
            </w:r>
          </w:p>
        </w:tc>
      </w:tr>
      <w:tr>
        <w:trPr/>
        <w:tc>
          <w:tcPr>
            <w:tcW w:w="198" w:type="dxa"/>
            <w:tcBorders/>
            <w:tcMar>
              <w:start w:w="0" w:type="dxa"/>
              <w:end w:w="0" w:type="dxa"/>
            </w:tcMar>
          </w:tcPr>
          <w:p>
            <w:pPr>
              <w:pStyle w:val="Normal"/>
              <w:rPr>
                <w:sz w:val="18"/>
              </w:rPr>
            </w:pPr>
            <w:r>
              <w:rPr>
                <w:sz w:val="18"/>
              </w:rPr>
            </w:r>
          </w:p>
        </w:tc>
        <w:tc>
          <w:tcPr>
            <w:tcW w:w="18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Power Purchase Agreements</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WAPA</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(277.5)</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Mead</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1/1/87</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9/30/17</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PP&amp;L</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(200.0)</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COB, 4C</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6/30/87</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9/30/06</w:t>
            </w:r>
          </w:p>
        </w:tc>
      </w:tr>
      <w:tr>
        <w:trPr/>
        <w:tc>
          <w:tcPr>
            <w:tcW w:w="198" w:type="dxa"/>
            <w:tcBorders/>
            <w:tcMar>
              <w:start w:w="0" w:type="dxa"/>
              <w:end w:w="0" w:type="dxa"/>
            </w:tcMar>
          </w:tcPr>
          <w:p>
            <w:pPr>
              <w:pStyle w:val="Normal"/>
              <w:rPr>
                <w:sz w:val="18"/>
              </w:rPr>
            </w:pPr>
            <w:r>
              <w:rPr>
                <w:sz w:val="18"/>
              </w:rPr>
            </w:r>
          </w:p>
        </w:tc>
        <w:tc>
          <w:tcPr>
            <w:tcW w:w="18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Power Exchange Agreements</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AEPCO</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(6.0)</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5.6</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Mead</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5/8/81</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5/8/21</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BPA</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(250.0)</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250.0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COB, NOB</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10/18/88</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11/1/04</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CDWR</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(225.0)</w:t>
            </w:r>
          </w:p>
        </w:tc>
        <w:tc>
          <w:tcPr>
            <w:tcW w:w="11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1,550.0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Vincent or Midway</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9/17/81</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12/31/04</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CDWR</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(494.0)</w:t>
            </w:r>
          </w:p>
        </w:tc>
        <w:tc>
          <w:tcPr>
            <w:tcW w:w="11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ind w:end="144"/>
              <w:jc w:val="end"/>
              <w:rPr>
                <w:sz w:val="18"/>
              </w:rPr>
            </w:pPr>
            <w:r>
              <w:rPr>
                <w:sz w:val="18"/>
              </w:rPr>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Vincent or Midway</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10/11/79</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12/31/04</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MWD</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(301.5)</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320.0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Julian Hinds</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4/1/87</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9/30/17</w:t>
            </w:r>
          </w:p>
        </w:tc>
      </w:tr>
      <w:tr>
        <w:trPr/>
        <w:tc>
          <w:tcPr>
            <w:tcW w:w="198" w:type="dxa"/>
            <w:tcBorders/>
            <w:tcMar>
              <w:start w:w="0" w:type="dxa"/>
              <w:end w:w="0" w:type="dxa"/>
            </w:tcMar>
          </w:tcPr>
          <w:p>
            <w:pPr>
              <w:pStyle w:val="Normal"/>
              <w:rPr>
                <w:sz w:val="18"/>
              </w:rPr>
            </w:pPr>
            <w:r>
              <w:rPr>
                <w:sz w:val="18"/>
              </w:rPr>
            </w:r>
          </w:p>
        </w:tc>
        <w:tc>
          <w:tcPr>
            <w:tcW w:w="18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true"/>
              <w:keepLines/>
              <w:snapToGrid w:val="false"/>
              <w:rPr>
                <w:sz w:val="18"/>
              </w:rPr>
            </w:pPr>
            <w:r>
              <w:rPr>
                <w:sz w:val="18"/>
              </w:rPr>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Pasadena</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(2.0)</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15.0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Goodrich</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6/20/33</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Evergreen</w:t>
            </w:r>
          </w:p>
        </w:tc>
      </w:tr>
      <w:tr>
        <w:trPr/>
        <w:tc>
          <w:tcPr>
            <w:tcW w:w="198" w:type="dxa"/>
            <w:tcBorders/>
            <w:tcMar>
              <w:start w:w="0" w:type="dxa"/>
              <w:end w:w="0" w:type="dxa"/>
            </w:tcMar>
          </w:tcPr>
          <w:p>
            <w:pPr>
              <w:pStyle w:val="Normal"/>
              <w:rPr>
                <w:sz w:val="18"/>
              </w:rPr>
            </w:pPr>
            <w:r>
              <w:rPr>
                <w:sz w:val="18"/>
              </w:rPr>
            </w:r>
          </w:p>
        </w:tc>
        <w:tc>
          <w:tcPr>
            <w:tcW w:w="188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Exchange Sale Agreements</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Tucson</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(110.0)</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110.0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PV, 4C, Moenkopi</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9/15/92</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5/14/05</w:t>
            </w:r>
          </w:p>
        </w:tc>
      </w:tr>
      <w:tr>
        <w:trPr/>
        <w:tc>
          <w:tcPr>
            <w:tcW w:w="198" w:type="dxa"/>
            <w:tcBorders/>
            <w:tcMar>
              <w:start w:w="0" w:type="dxa"/>
              <w:end w:w="0" w:type="dxa"/>
            </w:tcMar>
          </w:tcPr>
          <w:p>
            <w:pPr>
              <w:pStyle w:val="Normal"/>
              <w:rPr>
                <w:sz w:val="18"/>
              </w:rPr>
            </w:pPr>
            <w:r>
              <w:rPr>
                <w:sz w:val="18"/>
              </w:rPr>
            </w:r>
          </w:p>
        </w:tc>
        <w:tc>
          <w:tcPr>
            <w:tcW w:w="1881"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Power Sale Agreement</w:t>
            </w:r>
          </w:p>
        </w:tc>
        <w:tc>
          <w:tcPr>
            <w:tcW w:w="1190"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rPr>
                <w:sz w:val="18"/>
              </w:rPr>
            </w:pPr>
            <w:r>
              <w:rPr>
                <w:sz w:val="18"/>
              </w:rPr>
              <w:t>PacifiCorp</w:t>
            </w:r>
          </w:p>
        </w:tc>
        <w:tc>
          <w:tcPr>
            <w:tcW w:w="1273"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w:t>
            </w:r>
          </w:p>
        </w:tc>
        <w:tc>
          <w:tcPr>
            <w:tcW w:w="1149"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end"/>
              <w:rPr>
                <w:sz w:val="18"/>
              </w:rPr>
            </w:pPr>
            <w:r>
              <w:rPr>
                <w:sz w:val="18"/>
              </w:rPr>
              <w:t>422.0</w:t>
            </w:r>
          </w:p>
        </w:tc>
        <w:tc>
          <w:tcPr>
            <w:tcW w:w="1512"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Malin, NOB</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2/19/93</w:t>
            </w:r>
          </w:p>
        </w:tc>
        <w:tc>
          <w:tcPr>
            <w:tcW w:w="129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true"/>
              <w:keepLines/>
              <w:ind w:end="144"/>
              <w:jc w:val="center"/>
              <w:rPr>
                <w:sz w:val="18"/>
              </w:rPr>
            </w:pPr>
            <w:r>
              <w:rPr>
                <w:sz w:val="18"/>
              </w:rPr>
              <w:t>3/15/03</w:t>
            </w:r>
          </w:p>
        </w:tc>
      </w:tr>
    </w:tbl>
    <w:p>
      <w:pPr>
        <w:pStyle w:val="Normal"/>
        <w:rPr/>
      </w:pPr>
      <w:r>
        <w:rPr/>
      </w:r>
    </w:p>
    <w:p>
      <w:pPr>
        <w:pStyle w:val="Normal"/>
        <w:ind w:start="2160" w:end="0"/>
        <w:rPr/>
      </w:pPr>
      <w:r>
        <w:rPr/>
      </w:r>
    </w:p>
    <w:p>
      <w:pPr>
        <w:pStyle w:val="Heading4"/>
        <w:numPr>
          <w:ilvl w:val="3"/>
          <w:numId w:val="2"/>
        </w:numPr>
        <w:ind w:hanging="0" w:start="0"/>
        <w:rPr/>
      </w:pPr>
      <w:bookmarkStart w:id="35" w:name="__RefHeading___Toc517698410"/>
      <w:bookmarkEnd w:id="35"/>
      <w:r>
        <w:rPr/>
        <w:t>Bilateral Forward Contracts</w:t>
      </w:r>
    </w:p>
    <w:p>
      <w:pPr>
        <w:pStyle w:val="heading4Text"/>
        <w:rPr/>
      </w:pPr>
      <w:r>
        <w:rPr/>
        <w:t>SCE entered into various bilateral forward contracts during the period spanning November 15, 2000 to January 8, 2001.  Since then, some of the counter parties initiating contractual provisions, liquidated a majority of these contracts due to SCE’s financial situation.  For the period July 1, 2001 to December 31, 2002, Table No. III-2 summarizes the purchased volume and cost for the remaining seven active bilateral forward contracts (reflecting quarterly, yearly and five-year contracts).  Monthly-procured GWh volume is calculated by multiplying contract MW by respective 7x24 and 6x16 delivery hours in each month.  Multiplying the monthly-procured volume by the relevant contract price results in the monthly energy procurement costs.  SCE may also incur other associated costs including credit and collateral and contract administration costs associated with the bilateral forward contracts.  The total bilateral forward procurement cost for the July 1, 2001 to December 31, 2002 period is forecasted to be approximately $160 million.</w:t>
      </w:r>
      <w:r>
        <w:rPr>
          <w:rStyle w:val="FootnoteCharacters"/>
          <w:rStyle w:val="FootnoteReference"/>
        </w:rPr>
        <w:footnoteReference w:id="24"/>
      </w:r>
      <w:r>
        <w:rPr/>
        <w:t xml:space="preserve">  On an annualized basis, this procurement cost is approximately $106 million.</w:t>
      </w:r>
      <w:r>
        <w:rPr>
          <w:rStyle w:val="FootnoteCharacters"/>
          <w:rStyle w:val="FootnoteReference"/>
        </w:rPr>
        <w:footnoteReference w:id="25"/>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-3</w:t>
              <w:br/>
              <w:t>Estimated 2002 Bilateral Forward Market Procurement Volume And Cost</w:t>
            </w:r>
          </w:p>
        </w:tc>
      </w:tr>
      <w:tr>
        <w:trPr/>
        <w:tc>
          <w:tcPr>
            <w:tcW w:w="9576" w:type="dxa"/>
            <w:tcBorders/>
          </w:tcPr>
          <w:p>
            <w:pPr>
              <w:pStyle w:val="Normal"/>
              <w:rPr/>
            </w:pPr>
            <w:r>
              <w:rPr/>
              <w:drawing>
                <wp:inline distT="0" distB="0" distL="0" distR="0">
                  <wp:extent cx="5401310" cy="223901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4"/>
                          <a:srcRect l="-7" t="-16" r="-7" b="-16"/>
                          <a:stretch>
                            <a:fillRect/>
                          </a:stretch>
                        </pic:blipFill>
                        <pic:spPr bwMode="auto">
                          <a:xfrm>
                            <a:off x="0" y="0"/>
                            <a:ext cx="5401310" cy="2239010"/>
                          </a:xfrm>
                          <a:prstGeom prst="rect">
                            <a:avLst/>
                          </a:prstGeom>
                          <a:noFill/>
                        </pic:spPr>
                      </pic:pic>
                    </a:graphicData>
                  </a:graphic>
                </wp:inline>
              </w:drawing>
            </w:r>
          </w:p>
        </w:tc>
      </w:tr>
    </w:tbl>
    <w:p>
      <w:pPr>
        <w:pStyle w:val="Normal"/>
        <w:spacing w:lineRule="auto" w:line="480"/>
        <w:ind w:firstLine="2160" w:end="0"/>
        <w:rPr/>
      </w:pPr>
      <w:r>
        <w:rPr/>
      </w:r>
    </w:p>
    <w:p>
      <w:pPr>
        <w:pStyle w:val="Heading3"/>
        <w:numPr>
          <w:ilvl w:val="2"/>
          <w:numId w:val="2"/>
        </w:numPr>
        <w:ind w:hanging="0" w:start="0"/>
        <w:rPr/>
      </w:pPr>
      <w:bookmarkStart w:id="36" w:name="__RefHeading___Toc517698411"/>
      <w:bookmarkEnd w:id="36"/>
      <w:r>
        <w:rPr/>
        <w:t>Payments Remitted to DWR</w:t>
      </w:r>
    </w:p>
    <w:p>
      <w:pPr>
        <w:pStyle w:val="heading3Text"/>
        <w:rPr/>
      </w:pPr>
      <w:r>
        <w:rPr/>
        <w:t>In compliance with D.01-03-081, SCE is required to remit 10.277 cents/kWh for all kWhs DWR procures on behalf of SCE’s customers.  Table III-4 below shows the estimate of the amount of payments SCE will remit to DWR during 2002.  As shown on Line 20, the total estimated amount to be remitted to DWR in 2002 is $2.815 billion.  This amount includes $57.9 million of amortization associated with recovering the revenue requirement associated with the billing delay for the 3 cent/kWh surcharge from March 27, 2001 until June 3, 2001.</w:t>
      </w:r>
      <w:r>
        <w:rPr>
          <w:rStyle w:val="FootnoteCharacters"/>
          <w:rStyle w:val="FootnoteReference"/>
        </w:rPr>
        <w:footnoteReference w:id="26"/>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ing"/>
              <w:keepNext w:val="true"/>
              <w:keepLines/>
              <w:suppressLineNumbers/>
              <w:spacing w:lineRule="auto" w:line="240" w:before="360" w:after="120"/>
              <w:jc w:val="center"/>
              <w:rPr/>
            </w:pPr>
            <w:r>
              <w:drawing>
                <wp:anchor behindDoc="0" distT="0" distB="0" distL="114935" distR="114935" simplePos="0" locked="0" layoutInCell="0" allowOverlap="1" relativeHeight="63">
                  <wp:simplePos x="0" y="0"/>
                  <wp:positionH relativeFrom="margin">
                    <wp:posOffset>845185</wp:posOffset>
                  </wp:positionH>
                  <wp:positionV relativeFrom="paragraph">
                    <wp:posOffset>973455</wp:posOffset>
                  </wp:positionV>
                  <wp:extent cx="4121150" cy="5070475"/>
                  <wp:effectExtent l="0" t="0" r="0" b="0"/>
                  <wp:wrapTopAndBottom/>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5"/>
                          <a:srcRect l="-9" t="-7" r="-9" b="-7"/>
                          <a:stretch>
                            <a:fillRect/>
                          </a:stretch>
                        </pic:blipFill>
                        <pic:spPr bwMode="auto">
                          <a:xfrm>
                            <a:off x="0" y="0"/>
                            <a:ext cx="4121150" cy="5070475"/>
                          </a:xfrm>
                          <a:prstGeom prst="rect">
                            <a:avLst/>
                          </a:prstGeom>
                          <a:noFill/>
                        </pic:spPr>
                      </pic:pic>
                    </a:graphicData>
                  </a:graphic>
                </wp:anchor>
              </w:drawing>
            </w: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-4</w:t>
              <w:br/>
              <w:t xml:space="preserve">Estimated 2002 Payments Remitted To DWR </w:t>
              <w:br/>
              <w:t>($000)</w:t>
            </w:r>
          </w:p>
        </w:tc>
      </w:tr>
      <w:tr>
        <w:trPr/>
        <w:tc>
          <w:tcPr>
            <w:tcW w:w="9576" w:type="dxa"/>
            <w:tcBorders/>
          </w:tcPr>
          <w:p>
            <w:pPr>
              <w:pStyle w:val="Normal"/>
              <w:snapToGrid w:val="false"/>
              <w:rPr/>
            </w:pPr>
            <w:r>
              <w:rPr/>
            </w:r>
          </w:p>
        </w:tc>
      </w:tr>
    </w:tbl>
    <w:p>
      <w:pPr>
        <w:pStyle w:val="Normal"/>
        <w:spacing w:lineRule="auto" w:line="480"/>
        <w:ind w:firstLine="2160" w:end="0"/>
        <w:rPr/>
      </w:pPr>
      <w:r>
        <w:rPr/>
      </w:r>
    </w:p>
    <w:p>
      <w:pPr>
        <w:pStyle w:val="Heading3"/>
        <w:numPr>
          <w:ilvl w:val="2"/>
          <w:numId w:val="2"/>
        </w:numPr>
        <w:ind w:hanging="0" w:start="0"/>
        <w:rPr/>
      </w:pPr>
      <w:bookmarkStart w:id="37" w:name="__RefHeading___Toc517698412"/>
      <w:bookmarkEnd w:id="37"/>
      <w:r>
        <w:rPr/>
        <w:t>ISO-Related Charges</w:t>
      </w:r>
    </w:p>
    <w:p>
      <w:pPr>
        <w:pStyle w:val="heading3Text"/>
        <w:rPr/>
      </w:pPr>
      <w:r>
        <w:rPr/>
        <w:t xml:space="preserve">SCE’s load and generation are assessed numerous market and administrative ISO-related charges.  Because SCE is not a creditworthy entity, SCE is unable to precisely project the amount or type of ISO-related charges that it may incur prior to 2003.  SCE and DWR- have been engaged in discussions to resolve these ISO-related cost responsibility issues, as provided for in the MOU, but have not reached final agreement at this date. In the face of these uncertainties, SCE proposes to record all ISO-related charges that it ultimately incurs in the ISOBA.  </w:t>
      </w:r>
    </w:p>
    <w:p>
      <w:pPr>
        <w:pStyle w:val="heading3Text"/>
        <w:rPr/>
      </w:pPr>
      <w:r>
        <w:rPr/>
        <w:t>Notwithstanding the above limitations, SCE provides below for reference purposes the annual cost projections associated with SCE’s retail bundled load and retained generation and contracts for (1) SCE’s total ancillary services requirements, and (2) ISO “uplift” charges.  Additionally, SCE provides a projected allocation of such costs between SCE and DWR, depending on whether SCE is an investment grade entity.</w:t>
      </w:r>
    </w:p>
    <w:p>
      <w:pPr>
        <w:pStyle w:val="Heading4"/>
        <w:numPr>
          <w:ilvl w:val="3"/>
          <w:numId w:val="2"/>
        </w:numPr>
        <w:ind w:hanging="0" w:start="0"/>
        <w:rPr/>
      </w:pPr>
      <w:bookmarkStart w:id="38" w:name="__RefHeading___Toc517698413"/>
      <w:bookmarkEnd w:id="38"/>
      <w:r>
        <w:rPr/>
        <w:t>Ancillary Services Cost Projection</w:t>
      </w:r>
    </w:p>
    <w:p>
      <w:pPr>
        <w:pStyle w:val="heading4Text"/>
        <w:rPr/>
      </w:pPr>
      <w:r>
        <w:rPr/>
        <w:t>In order to estimate SCE’s total annual ancillary services costs for 2002, without respect for whether SCE is responsible for all, a portion, or none of such costs, SCE roughly estimated its total monthly ancillary services costs for the period December 2000 through May 2001 and divided this amount by SCE’s estimated bundled retail load for the same period.  The result of this calculation was multiplied, as a proxy for ancillary services cost per MWh of bundled retail load in 2002, by SCE’s forecasted bundled retail load of 83,608 GWh for 2002 to provide SCE’s projected total annual ancillary services costs of approximately $905 million.  The results of this calculation are shown in Table No. III-4.  SCE acknowledges the crudeness of this forecasting approach, but the lack of liquid forward ancillary services markets and ISO market structure uncertainty preclude other more “sophisticated” approaches.  SCE submits that the use of the most recent six-month period to forecast 2002 annual ancillary services costs is not likely to significantly overstate such costs, particularly given the fact that it does not include summer months, which tend to be higher priced.</w:t>
      </w:r>
      <w:r>
        <w:rPr>
          <w:rStyle w:val="FootnoteCharacters"/>
          <w:rStyle w:val="FootnoteReference"/>
        </w:rPr>
        <w:footnoteReference w:id="27"/>
      </w:r>
    </w:p>
    <w:tbl>
      <w:tblPr>
        <w:tblW w:w="9576" w:type="dxa"/>
        <w:jc w:val="start"/>
        <w:tblInd w:w="0" w:type="dxa"/>
        <w:tblLayout w:type="fixed"/>
        <w:tblCellMar>
          <w:top w:w="0" w:type="dxa"/>
          <w:start w:w="108" w:type="dxa"/>
          <w:bottom w:w="0" w:type="dxa"/>
          <w:end w:w="108" w:type="dxa"/>
        </w:tblCellMar>
      </w:tblPr>
      <w:tblGrid>
        <w:gridCol w:w="1368"/>
        <w:gridCol w:w="2160"/>
        <w:gridCol w:w="2340"/>
        <w:gridCol w:w="2988"/>
        <w:gridCol w:w="720"/>
      </w:tblGrid>
      <w:tr>
        <w:trPr/>
        <w:tc>
          <w:tcPr>
            <w:tcW w:w="9576" w:type="dxa"/>
            <w:gridSpan w:val="5"/>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-5</w:t>
            </w:r>
            <w:r>
              <w:rPr>
                <w:rStyle w:val="FootnoteCharacters"/>
                <w:rStyle w:val="FootnoteReference"/>
              </w:rPr>
              <w:footnoteReference w:id="28"/>
            </w:r>
            <w:r>
              <w:rPr/>
              <w:br/>
            </w:r>
          </w:p>
        </w:tc>
      </w:tr>
      <w:tr>
        <w:trPr/>
        <w:tc>
          <w:tcPr>
            <w:tcW w:w="9576" w:type="dxa"/>
            <w:gridSpan w:val="5"/>
            <w:tcBorders/>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Period</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Estimated Ancillary Services Costs </w:t>
            </w:r>
          </w:p>
          <w:p>
            <w:pPr>
              <w:pStyle w:val="Normal"/>
              <w:jc w:val="center"/>
              <w:rPr/>
            </w:pPr>
            <w:r>
              <w:rPr/>
              <w:t>($ Million)</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Estimated Bundled Retail Load (GWh)</w:t>
            </w:r>
            <w:r>
              <w:rPr>
                <w:rStyle w:val="FootnoteCharacters"/>
              </w:rPr>
              <w:t xml:space="preserve"> </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Average Ancillary Services Cost per MWh of Load Served ($/MWh)</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Dec-00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82</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6,112</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13.42</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Jan-01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56</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6,250</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8.96</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Feb-01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65</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5,705</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11.39</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Mar-01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78</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6,335</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12.31</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Apr-01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63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6,048</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10.42</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May-01</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62</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7,057</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8.79</w:t>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720" w:type="dxa"/>
            <w:tcBorders/>
            <w:tcMar>
              <w:start w:w="0" w:type="dxa"/>
              <w:end w:w="0" w:type="dxa"/>
            </w:tcMar>
          </w:tcPr>
          <w:p>
            <w:pPr>
              <w:pStyle w:val="Normal"/>
              <w:snapToGrid w:val="false"/>
              <w:rPr/>
            </w:pPr>
            <w:r>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Total</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406</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37,507</w:t>
            </w:r>
          </w:p>
        </w:tc>
        <w:tc>
          <w:tcPr>
            <w:tcW w:w="2988" w:type="dxa"/>
            <w:tcBorders>
              <w:top w:val="single" w:sz="4" w:space="0" w:color="000000"/>
              <w:start w:val="single" w:sz="4" w:space="0" w:color="000000"/>
              <w:bottom w:val="single" w:sz="4" w:space="0" w:color="000000"/>
              <w:end w:val="single" w:sz="4" w:space="0" w:color="000000"/>
            </w:tcBorders>
          </w:tcPr>
          <w:p>
            <w:pPr>
              <w:pStyle w:val="Normal"/>
              <w:jc w:val="center"/>
              <w:rPr/>
            </w:pPr>
            <w:r>
              <w:rPr/>
              <w:t>10.83*</w:t>
            </w:r>
          </w:p>
        </w:tc>
        <w:tc>
          <w:tcPr>
            <w:tcW w:w="720" w:type="dxa"/>
            <w:tcBorders/>
            <w:tcMar>
              <w:start w:w="0" w:type="dxa"/>
              <w:end w:w="0" w:type="dxa"/>
            </w:tcMar>
          </w:tcPr>
          <w:p>
            <w:pPr>
              <w:pStyle w:val="Normal"/>
              <w:snapToGrid w:val="false"/>
              <w:rPr/>
            </w:pPr>
            <w:r>
              <w:rPr/>
            </w:r>
          </w:p>
        </w:tc>
      </w:tr>
    </w:tbl>
    <w:p>
      <w:pPr>
        <w:pStyle w:val="Normal"/>
        <w:spacing w:lineRule="auto" w:line="240" w:before="120" w:after="0"/>
        <w:jc w:val="center"/>
        <w:rPr/>
      </w:pPr>
      <w:r>
        <w:rPr/>
        <w:t>* $10.83/MWh X Forecast 2002 Bundled Retail Load of 83,600,000 MWh = $905,388,000</w:t>
      </w:r>
    </w:p>
    <w:p>
      <w:pPr>
        <w:pStyle w:val="Heading4"/>
        <w:numPr>
          <w:ilvl w:val="3"/>
          <w:numId w:val="2"/>
        </w:numPr>
        <w:ind w:hanging="0" w:start="0"/>
        <w:rPr/>
      </w:pPr>
      <w:bookmarkStart w:id="39" w:name="__RefHeading___Toc517698414"/>
      <w:bookmarkEnd w:id="39"/>
      <w:r>
        <w:rPr/>
        <w:t>ISO “Uplift” Charges</w:t>
      </w:r>
    </w:p>
    <w:p>
      <w:pPr>
        <w:pStyle w:val="heading4Text"/>
        <w:rPr/>
      </w:pPr>
      <w:r>
        <w:rPr/>
        <w:t xml:space="preserve">ISO “uplift” charges do not include ancillary services and energy charges.  In order to estimate SCE’s total annual ISO “uplift” charges for 2002, without considering whether SCE is responsible for all, a portion, or none of such costs, SCE calculated its total ISO “uplift” charges for the period January 19, 2001 (the first day that SCE did not participate in the PX) through March 31, 2001 and divided this amount by SCE’s estimated bundled retail load for the same period.  The result of this calculation was multiplied, as a proxy for ISO “uplift” charges per MWh of bundled retail load for 2002, by SCE’s forecasted bundled retail load of 83,608 GWh for 2002 to provide SCE’s projected total annual ISO “uplift” charges of approximately $262 million.  The results of this calculation are shown in Table No. III-5.  Again, SCE acknowledges the crudeness of this forecast approach, but submits that a more involved method of forecasting ISO “uplift” charges is not likely to significantly improve the forecast accuracy due to the numerous uncertainties that exist with many of the ISO’s charges.  </w:t>
      </w:r>
    </w:p>
    <w:tbl>
      <w:tblPr>
        <w:tblW w:w="9576" w:type="dxa"/>
        <w:jc w:val="start"/>
        <w:tblInd w:w="0" w:type="dxa"/>
        <w:tblLayout w:type="fixed"/>
        <w:tblCellMar>
          <w:top w:w="0" w:type="dxa"/>
          <w:start w:w="108" w:type="dxa"/>
          <w:bottom w:w="0" w:type="dxa"/>
          <w:end w:w="108" w:type="dxa"/>
        </w:tblCellMar>
      </w:tblPr>
      <w:tblGrid>
        <w:gridCol w:w="1548"/>
        <w:gridCol w:w="1980"/>
        <w:gridCol w:w="2340"/>
        <w:gridCol w:w="2988"/>
        <w:gridCol w:w="720"/>
      </w:tblGrid>
      <w:tr>
        <w:trPr/>
        <w:tc>
          <w:tcPr>
            <w:tcW w:w="9576" w:type="dxa"/>
            <w:gridSpan w:val="5"/>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-6</w:t>
            </w:r>
            <w:r>
              <w:rPr>
                <w:rStyle w:val="FootnoteCharacters"/>
                <w:rStyle w:val="FootnoteReference"/>
              </w:rPr>
              <w:footnoteReference w:id="29"/>
            </w:r>
          </w:p>
        </w:tc>
      </w:tr>
      <w:tr>
        <w:trPr/>
        <w:tc>
          <w:tcPr>
            <w:tcW w:w="9576" w:type="dxa"/>
            <w:gridSpan w:val="5"/>
            <w:tcBorders/>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Period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 xml:space="preserve">Calculated ISO “Uplift” Charges </w:t>
            </w:r>
          </w:p>
          <w:p>
            <w:pPr>
              <w:pStyle w:val="Normal"/>
              <w:spacing w:lineRule="auto" w:line="240"/>
              <w:jc w:val="center"/>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Estimated Bundled Retail Load (GWh)</w:t>
            </w:r>
            <w:r>
              <w:rPr>
                <w:rStyle w:val="FootnoteCharacters"/>
              </w:rPr>
              <w:t xml:space="preserve"> </w:t>
            </w:r>
          </w:p>
        </w:tc>
        <w:tc>
          <w:tcPr>
            <w:tcW w:w="298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Average ISO “Uplift” Charge per MWh of Load Served ($/MWh)</w:t>
            </w:r>
          </w:p>
        </w:tc>
        <w:tc>
          <w:tcPr>
            <w:tcW w:w="720" w:type="dxa"/>
            <w:tcBorders/>
            <w:tcMar>
              <w:start w:w="0" w:type="dxa"/>
              <w:end w:w="0" w:type="dxa"/>
            </w:tcMar>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Jan 19-31 ‘01</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$4,217,242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2,627</w:t>
            </w:r>
          </w:p>
        </w:tc>
        <w:tc>
          <w:tcPr>
            <w:tcW w:w="298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1.61</w:t>
            </w:r>
          </w:p>
        </w:tc>
        <w:tc>
          <w:tcPr>
            <w:tcW w:w="720" w:type="dxa"/>
            <w:tcBorders/>
            <w:tcMar>
              <w:start w:w="0" w:type="dxa"/>
              <w:end w:w="0" w:type="dxa"/>
            </w:tcMar>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Feb ‘01</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$12,041,006</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5,705</w:t>
            </w:r>
          </w:p>
        </w:tc>
        <w:tc>
          <w:tcPr>
            <w:tcW w:w="298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2.11</w:t>
            </w:r>
          </w:p>
        </w:tc>
        <w:tc>
          <w:tcPr>
            <w:tcW w:w="720" w:type="dxa"/>
            <w:tcBorders/>
            <w:tcMar>
              <w:start w:w="0" w:type="dxa"/>
              <w:end w:w="0" w:type="dxa"/>
            </w:tcMar>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Mar ‘01</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29,630,297</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6,335</w:t>
            </w:r>
          </w:p>
        </w:tc>
        <w:tc>
          <w:tcPr>
            <w:tcW w:w="298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4.68</w:t>
            </w:r>
          </w:p>
        </w:tc>
        <w:tc>
          <w:tcPr>
            <w:tcW w:w="720" w:type="dxa"/>
            <w:tcBorders/>
            <w:tcMar>
              <w:start w:w="0" w:type="dxa"/>
              <w:end w:w="0" w:type="dxa"/>
            </w:tcMar>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pPr>
            <w:r>
              <w:rPr/>
            </w:r>
          </w:p>
        </w:tc>
        <w:tc>
          <w:tcPr>
            <w:tcW w:w="29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jc w:val="center"/>
              <w:rPr/>
            </w:pPr>
            <w:r>
              <w:rPr/>
            </w:r>
          </w:p>
        </w:tc>
        <w:tc>
          <w:tcPr>
            <w:tcW w:w="720" w:type="dxa"/>
            <w:tcBorders/>
            <w:tcMar>
              <w:start w:w="0" w:type="dxa"/>
              <w:end w:w="0" w:type="dxa"/>
            </w:tcMar>
          </w:tcPr>
          <w:p>
            <w:pPr>
              <w:pStyle w:val="Normal"/>
              <w:snapToGrid w:val="false"/>
              <w:rPr/>
            </w:pPr>
            <w:r>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Total</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$45,888,545</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14,667</w:t>
            </w:r>
          </w:p>
        </w:tc>
        <w:tc>
          <w:tcPr>
            <w:tcW w:w="2988"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3.13*</w:t>
            </w:r>
          </w:p>
        </w:tc>
        <w:tc>
          <w:tcPr>
            <w:tcW w:w="720" w:type="dxa"/>
            <w:tcBorders/>
            <w:tcMar>
              <w:start w:w="0" w:type="dxa"/>
              <w:end w:w="0" w:type="dxa"/>
            </w:tcMar>
          </w:tcPr>
          <w:p>
            <w:pPr>
              <w:pStyle w:val="Normal"/>
              <w:snapToGrid w:val="false"/>
              <w:rPr/>
            </w:pPr>
            <w:r>
              <w:rPr/>
            </w:r>
          </w:p>
        </w:tc>
      </w:tr>
    </w:tbl>
    <w:p>
      <w:pPr>
        <w:pStyle w:val="Normal"/>
        <w:spacing w:lineRule="auto" w:line="240" w:before="120" w:after="0"/>
        <w:jc w:val="center"/>
        <w:rPr/>
      </w:pPr>
      <w:r>
        <w:rPr/>
        <w:t>* $3.13/MWh X Forecast 2002 ISO Bundled Retail of 83,600,000 MWh = $261,668,000</w:t>
      </w:r>
    </w:p>
    <w:p>
      <w:pPr>
        <w:pStyle w:val="Heading4"/>
        <w:numPr>
          <w:ilvl w:val="3"/>
          <w:numId w:val="2"/>
        </w:numPr>
        <w:ind w:hanging="0" w:start="0"/>
        <w:rPr/>
      </w:pPr>
      <w:bookmarkStart w:id="40" w:name="__RefHeading___Toc517698415"/>
      <w:bookmarkEnd w:id="40"/>
      <w:r>
        <w:rPr/>
        <w:t>Allocation Of ISO-Related Charges Between SCE And DWR</w:t>
      </w:r>
    </w:p>
    <w:p>
      <w:pPr>
        <w:pStyle w:val="heading4Text"/>
        <w:rPr/>
      </w:pPr>
      <w:r>
        <w:rPr/>
        <w:t>ISO charges for ancillary services and other “uplift” charges billed to SCE as the scheduling coordinator for its controlled generation and bundled load will be allocated to both SCE and DWR while DWR is providing energy to SCE’s bundled customers.  The allocation methodology, due to FERC Orders, is dependent on the creditworthiness of SCE.</w:t>
      </w:r>
    </w:p>
    <w:p>
      <w:pPr>
        <w:pStyle w:val="heading4Text"/>
        <w:rPr/>
      </w:pPr>
      <w:r>
        <w:rPr/>
        <w:t>While SCE is a non-creditworthy entity, SCE may not participate in third-party transactions in the ISO’s markets.  That is, the ISO may not purchase energy or ancillary services from a third-party on behalf of SCE.  Instead, the ISO must identify and secure a creditworthy entity for such transactions.  To date, DWR is the only creditworthy buyer identified by the ISO.  Therefore, while SCE is non-creditworthy, DWR must purchase 100% of the ancillary services billed to SCE.  “Uplift” charges (e.g., UFE, GMC, neutrality, congestion, wheeling, interest penalties, etc.) should be allocated between SCE and DWR as ultimately agreed upon by SCE and DWR (negotiations are on-going at this time).  SCE’s current position would result in DWR paying approximately 80% of the “uplift” charges and SCE paying the remaining 20%.</w:t>
      </w:r>
    </w:p>
    <w:p>
      <w:pPr>
        <w:pStyle w:val="heading4Text"/>
        <w:rPr/>
      </w:pPr>
      <w:r>
        <w:rPr/>
        <w:t>When SCE becomes creditworthy, it is SCE’s position that DWR will only be responsible to cover the costs of SCE’s forecasted net-short position.  Therefore, DWR will pay ISO-related charges associated with the forecasted net-short position.  These ancillary services and uplift charges will be allocated to DWR based on a percentage of the actual total charges associated with SCE’s bundled retail load.  Based on current load and net-short forecasts, DWR will be providing 32% of SCE’s bundled retail load in 2002, and will therefore be responsible for 32% of the ISO-related charges.  Table III-6 summarizes the allocation of ISO-related charges on the basis of whether SCE is an investment grade entity, or not.</w:t>
      </w:r>
    </w:p>
    <w:tbl>
      <w:tblPr>
        <w:tblW w:w="9576" w:type="dxa"/>
        <w:jc w:val="start"/>
        <w:tblInd w:w="0" w:type="dxa"/>
        <w:tblLayout w:type="fixed"/>
        <w:tblCellMar>
          <w:top w:w="0" w:type="dxa"/>
          <w:start w:w="108" w:type="dxa"/>
          <w:bottom w:w="0" w:type="dxa"/>
          <w:end w:w="108" w:type="dxa"/>
        </w:tblCellMar>
      </w:tblPr>
      <w:tblGrid>
        <w:gridCol w:w="108"/>
        <w:gridCol w:w="3780"/>
        <w:gridCol w:w="2790"/>
        <w:gridCol w:w="2880"/>
        <w:gridCol w:w="18"/>
      </w:tblGrid>
      <w:tr>
        <w:trPr/>
        <w:tc>
          <w:tcPr>
            <w:tcW w:w="9576" w:type="dxa"/>
            <w:gridSpan w:val="4"/>
            <w:tcBorders/>
          </w:tcPr>
          <w:p>
            <w:pPr>
              <w:pStyle w:val="Heading"/>
              <w:keepNext w:val="true"/>
              <w:keepLines/>
              <w:suppressLineNumbers/>
              <w:spacing w:lineRule="auto" w:line="240" w:before="360" w:after="120"/>
              <w:jc w:val="center"/>
              <w:rPr/>
            </w:pPr>
            <w:r>
              <w:rPr/>
              <w:t xml:space="preserve">Table </w:t>
            </w:r>
            <w:r>
              <w:fldChar w:fldCharType="begin"/>
            </w:r>
            <w:r>
              <w:rPr>
                <w:lang w:val="en-CA"/>
              </w:rPr>
              <w:instrText xml:space="preserve"> STYLEREF 1 \n </w:instrText>
            </w:r>
            <w:r>
              <w:rPr>
                <w:lang w:val="en-CA"/>
              </w:rPr>
            </w:r>
            <w:r>
              <w:rPr>
                <w:lang w:val="en-CA"/>
              </w:rPr>
              <w:fldChar w:fldCharType="separate"/>
            </w:r>
            <w:r>
              <w:rPr>
                <w:lang w:val="en-CA"/>
              </w:rPr>
              <w:t>III</w:t>
            </w:r>
            <w:r>
              <w:rPr>
                <w:lang w:val="en-CA"/>
              </w:rPr>
            </w:r>
            <w:r>
              <w:rPr>
                <w:lang w:val="en-CA"/>
              </w:rPr>
              <w:fldChar w:fldCharType="end"/>
            </w:r>
            <w:r>
              <w:rPr/>
              <w:t>-7</w:t>
            </w:r>
          </w:p>
        </w:tc>
      </w:tr>
      <w:tr>
        <w:trPr/>
        <w:tc>
          <w:tcPr>
            <w:tcW w:w="9576" w:type="dxa"/>
            <w:gridSpan w:val="4"/>
            <w:tcBorders/>
          </w:tcPr>
          <w:p>
            <w:pPr>
              <w:pStyle w:val="Normal"/>
              <w:keepNext w:val="true"/>
              <w:keepLines/>
              <w:snapToGrid w:val="false"/>
              <w:rPr/>
            </w:pPr>
            <w:r>
              <w:rPr/>
            </w:r>
          </w:p>
        </w:tc>
      </w:tr>
      <w:tr>
        <w:trPr/>
        <w:tc>
          <w:tcPr>
            <w:tcW w:w="108" w:type="dxa"/>
            <w:tcBorders/>
            <w:tcMar>
              <w:start w:w="0" w:type="dxa"/>
              <w:end w:w="0" w:type="dxa"/>
            </w:tcMar>
          </w:tcPr>
          <w:p>
            <w:pPr>
              <w:pStyle w:val="Normal"/>
              <w:rPr/>
            </w:pPr>
            <w:r>
              <w:rPr/>
            </w:r>
          </w:p>
        </w:tc>
        <w:tc>
          <w:tcPr>
            <w:tcW w:w="3780" w:type="dxa"/>
            <w:tcBorders/>
          </w:tcPr>
          <w:p>
            <w:pPr>
              <w:pStyle w:val="heading4Text"/>
              <w:keepNext w:val="true"/>
              <w:keepLines/>
              <w:snapToGrid w:val="false"/>
              <w:spacing w:lineRule="auto" w:line="240" w:before="240" w:after="0"/>
              <w:ind w:hanging="0" w:end="0"/>
              <w:rPr>
                <w:sz w:val="20"/>
              </w:rPr>
            </w:pPr>
            <w:r>
              <w:rPr>
                <w:sz w:val="20"/>
              </w:rPr>
            </w:r>
          </w:p>
        </w:tc>
        <w:tc>
          <w:tcPr>
            <w:tcW w:w="2790" w:type="dxa"/>
            <w:tcBorders/>
          </w:tcPr>
          <w:p>
            <w:pPr>
              <w:pStyle w:val="heading4Text"/>
              <w:keepNext w:val="true"/>
              <w:keepLines/>
              <w:spacing w:lineRule="auto" w:line="240" w:before="240" w:after="0"/>
              <w:ind w:hanging="0" w:end="0"/>
              <w:rPr>
                <w:sz w:val="20"/>
              </w:rPr>
            </w:pPr>
            <w:r>
              <w:rPr>
                <w:sz w:val="20"/>
              </w:rPr>
              <w:t>SCE is Creditworthy</w:t>
            </w:r>
          </w:p>
        </w:tc>
        <w:tc>
          <w:tcPr>
            <w:tcW w:w="2880" w:type="dxa"/>
            <w:tcBorders/>
          </w:tcPr>
          <w:p>
            <w:pPr>
              <w:pStyle w:val="heading4Text"/>
              <w:keepNext w:val="true"/>
              <w:keepLines/>
              <w:spacing w:lineRule="auto" w:line="240" w:before="240" w:after="0"/>
              <w:ind w:hanging="0" w:end="0"/>
              <w:rPr>
                <w:sz w:val="20"/>
              </w:rPr>
            </w:pPr>
            <w:r>
              <w:rPr>
                <w:sz w:val="20"/>
              </w:rPr>
              <w:t>SCE is Not Creditworthy</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SCE Ancillary Services</w:t>
            </w:r>
          </w:p>
        </w:tc>
        <w:tc>
          <w:tcPr>
            <w:tcW w:w="2790" w:type="dxa"/>
            <w:tcBorders/>
          </w:tcPr>
          <w:p>
            <w:pPr>
              <w:pStyle w:val="heading4Text"/>
              <w:keepNext w:val="true"/>
              <w:keepLines/>
              <w:spacing w:lineRule="auto" w:line="240" w:before="240" w:after="0"/>
              <w:ind w:hanging="0" w:end="288"/>
              <w:jc w:val="end"/>
              <w:rPr>
                <w:sz w:val="20"/>
              </w:rPr>
            </w:pPr>
            <w:r>
              <w:rPr>
                <w:sz w:val="20"/>
              </w:rPr>
              <w:t>$615,663,840</w:t>
            </w:r>
          </w:p>
        </w:tc>
        <w:tc>
          <w:tcPr>
            <w:tcW w:w="2880" w:type="dxa"/>
            <w:tcBorders/>
          </w:tcPr>
          <w:p>
            <w:pPr>
              <w:pStyle w:val="heading4Text"/>
              <w:keepNext w:val="true"/>
              <w:keepLines/>
              <w:spacing w:lineRule="auto" w:line="240" w:before="240" w:after="0"/>
              <w:ind w:hanging="0" w:end="288"/>
              <w:jc w:val="end"/>
              <w:rPr>
                <w:sz w:val="20"/>
              </w:rPr>
            </w:pPr>
            <w:r>
              <w:rPr>
                <w:sz w:val="20"/>
              </w:rPr>
              <w:t>$0</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DWR Ancillary Services</w:t>
            </w:r>
          </w:p>
        </w:tc>
        <w:tc>
          <w:tcPr>
            <w:tcW w:w="2790" w:type="dxa"/>
            <w:tcBorders/>
          </w:tcPr>
          <w:p>
            <w:pPr>
              <w:pStyle w:val="heading4Text"/>
              <w:keepNext w:val="true"/>
              <w:keepLines/>
              <w:spacing w:lineRule="auto" w:line="240" w:before="240" w:after="0"/>
              <w:ind w:hanging="0" w:end="288"/>
              <w:jc w:val="end"/>
              <w:rPr>
                <w:sz w:val="20"/>
              </w:rPr>
            </w:pPr>
            <w:r>
              <w:rPr>
                <w:sz w:val="20"/>
              </w:rPr>
              <w:t>$289,724,160</w:t>
            </w:r>
          </w:p>
        </w:tc>
        <w:tc>
          <w:tcPr>
            <w:tcW w:w="2880" w:type="dxa"/>
            <w:tcBorders/>
          </w:tcPr>
          <w:p>
            <w:pPr>
              <w:pStyle w:val="heading4Text"/>
              <w:keepNext w:val="true"/>
              <w:keepLines/>
              <w:spacing w:lineRule="auto" w:line="240" w:before="240" w:after="0"/>
              <w:ind w:hanging="0" w:end="288"/>
              <w:jc w:val="end"/>
              <w:rPr>
                <w:sz w:val="20"/>
              </w:rPr>
            </w:pPr>
            <w:r>
              <w:rPr>
                <w:sz w:val="20"/>
              </w:rPr>
              <w:t>$905,388,000</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Total Ancillary Services</w:t>
            </w:r>
          </w:p>
        </w:tc>
        <w:tc>
          <w:tcPr>
            <w:tcW w:w="2790" w:type="dxa"/>
            <w:tcBorders/>
          </w:tcPr>
          <w:p>
            <w:pPr>
              <w:pStyle w:val="heading4Text"/>
              <w:keepNext w:val="true"/>
              <w:keepLines/>
              <w:spacing w:lineRule="auto" w:line="240" w:before="240" w:after="0"/>
              <w:ind w:hanging="0" w:end="288"/>
              <w:jc w:val="end"/>
              <w:rPr>
                <w:sz w:val="20"/>
              </w:rPr>
            </w:pPr>
            <w:r>
              <w:rPr>
                <w:sz w:val="20"/>
              </w:rPr>
              <w:t>$905,388,000</w:t>
            </w:r>
          </w:p>
        </w:tc>
        <w:tc>
          <w:tcPr>
            <w:tcW w:w="2880" w:type="dxa"/>
            <w:tcBorders/>
          </w:tcPr>
          <w:p>
            <w:pPr>
              <w:pStyle w:val="heading4Text"/>
              <w:keepNext w:val="true"/>
              <w:keepLines/>
              <w:spacing w:lineRule="auto" w:line="240" w:before="240" w:after="0"/>
              <w:ind w:hanging="0" w:end="288"/>
              <w:jc w:val="end"/>
              <w:rPr>
                <w:sz w:val="20"/>
              </w:rPr>
            </w:pPr>
            <w:r>
              <w:rPr>
                <w:sz w:val="20"/>
              </w:rPr>
              <w:t>$905,388,000</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SCE Uplift Charges</w:t>
            </w:r>
          </w:p>
        </w:tc>
        <w:tc>
          <w:tcPr>
            <w:tcW w:w="2790" w:type="dxa"/>
            <w:tcBorders/>
          </w:tcPr>
          <w:p>
            <w:pPr>
              <w:pStyle w:val="heading4Text"/>
              <w:keepNext w:val="true"/>
              <w:keepLines/>
              <w:spacing w:lineRule="auto" w:line="240" w:before="240" w:after="0"/>
              <w:ind w:hanging="0" w:end="288"/>
              <w:jc w:val="end"/>
              <w:rPr>
                <w:sz w:val="20"/>
              </w:rPr>
            </w:pPr>
            <w:r>
              <w:rPr>
                <w:sz w:val="20"/>
              </w:rPr>
              <w:t>$177,934,240</w:t>
            </w:r>
          </w:p>
        </w:tc>
        <w:tc>
          <w:tcPr>
            <w:tcW w:w="2880" w:type="dxa"/>
            <w:tcBorders/>
          </w:tcPr>
          <w:p>
            <w:pPr>
              <w:pStyle w:val="heading4Text"/>
              <w:keepNext w:val="true"/>
              <w:keepLines/>
              <w:spacing w:lineRule="auto" w:line="240" w:before="240" w:after="0"/>
              <w:ind w:hanging="0" w:end="288"/>
              <w:jc w:val="end"/>
              <w:rPr>
                <w:sz w:val="20"/>
              </w:rPr>
            </w:pPr>
            <w:r>
              <w:rPr>
                <w:sz w:val="20"/>
              </w:rPr>
              <w:t>$52,333,600</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DWR Uplift Charges</w:t>
            </w:r>
          </w:p>
        </w:tc>
        <w:tc>
          <w:tcPr>
            <w:tcW w:w="2790" w:type="dxa"/>
            <w:tcBorders/>
          </w:tcPr>
          <w:p>
            <w:pPr>
              <w:pStyle w:val="heading4Text"/>
              <w:keepNext w:val="true"/>
              <w:keepLines/>
              <w:spacing w:lineRule="auto" w:line="240" w:before="240" w:after="0"/>
              <w:ind w:hanging="0" w:end="288"/>
              <w:jc w:val="end"/>
              <w:rPr>
                <w:sz w:val="20"/>
              </w:rPr>
            </w:pPr>
            <w:r>
              <w:rPr>
                <w:sz w:val="20"/>
              </w:rPr>
              <w:t>$83,733,760</w:t>
            </w:r>
          </w:p>
        </w:tc>
        <w:tc>
          <w:tcPr>
            <w:tcW w:w="2880" w:type="dxa"/>
            <w:tcBorders/>
          </w:tcPr>
          <w:p>
            <w:pPr>
              <w:pStyle w:val="heading4Text"/>
              <w:keepNext w:val="true"/>
              <w:keepLines/>
              <w:spacing w:lineRule="auto" w:line="240" w:before="240" w:after="0"/>
              <w:ind w:hanging="0" w:end="288"/>
              <w:jc w:val="end"/>
              <w:rPr>
                <w:sz w:val="20"/>
              </w:rPr>
            </w:pPr>
            <w:r>
              <w:rPr>
                <w:sz w:val="20"/>
              </w:rPr>
              <w:t>$209,334,400</w:t>
            </w:r>
          </w:p>
        </w:tc>
      </w:tr>
      <w:tr>
        <w:trPr/>
        <w:tc>
          <w:tcPr>
            <w:tcW w:w="108" w:type="dxa"/>
            <w:tcBorders/>
            <w:tcMar>
              <w:start w:w="0" w:type="dxa"/>
              <w:end w:w="0" w:type="dxa"/>
            </w:tcMar>
          </w:tcPr>
          <w:p>
            <w:pPr>
              <w:pStyle w:val="Normal"/>
              <w:rPr>
                <w:sz w:val="20"/>
              </w:rPr>
            </w:pPr>
            <w:r>
              <w:rPr>
                <w:sz w:val="20"/>
              </w:rPr>
            </w:r>
          </w:p>
        </w:tc>
        <w:tc>
          <w:tcPr>
            <w:tcW w:w="3780" w:type="dxa"/>
            <w:tcBorders/>
          </w:tcPr>
          <w:p>
            <w:pPr>
              <w:pStyle w:val="heading4Text"/>
              <w:keepNext w:val="true"/>
              <w:keepLines/>
              <w:spacing w:lineRule="auto" w:line="240" w:before="240" w:after="0"/>
              <w:ind w:hanging="0" w:end="0"/>
              <w:rPr>
                <w:sz w:val="20"/>
              </w:rPr>
            </w:pPr>
            <w:r>
              <w:rPr>
                <w:sz w:val="20"/>
              </w:rPr>
              <w:t>Total Uplift Charges</w:t>
            </w:r>
          </w:p>
        </w:tc>
        <w:tc>
          <w:tcPr>
            <w:tcW w:w="2790" w:type="dxa"/>
            <w:tcBorders/>
          </w:tcPr>
          <w:p>
            <w:pPr>
              <w:pStyle w:val="heading4Text"/>
              <w:keepNext w:val="true"/>
              <w:keepLines/>
              <w:spacing w:lineRule="auto" w:line="240" w:before="240" w:after="0"/>
              <w:ind w:hanging="0" w:end="288"/>
              <w:jc w:val="end"/>
              <w:rPr>
                <w:sz w:val="20"/>
              </w:rPr>
            </w:pPr>
            <w:r>
              <w:rPr>
                <w:sz w:val="20"/>
              </w:rPr>
              <w:t>$261,668,000</w:t>
            </w:r>
          </w:p>
        </w:tc>
        <w:tc>
          <w:tcPr>
            <w:tcW w:w="2880" w:type="dxa"/>
            <w:tcBorders/>
          </w:tcPr>
          <w:p>
            <w:pPr>
              <w:pStyle w:val="heading4Text"/>
              <w:keepNext w:val="true"/>
              <w:keepLines/>
              <w:spacing w:lineRule="auto" w:line="240" w:before="240" w:after="0"/>
              <w:ind w:hanging="0" w:end="288"/>
              <w:jc w:val="end"/>
              <w:rPr>
                <w:sz w:val="20"/>
              </w:rPr>
            </w:pPr>
            <w:r>
              <w:rPr>
                <w:sz w:val="20"/>
              </w:rPr>
              <w:t>$261,688,000</w:t>
            </w:r>
          </w:p>
        </w:tc>
      </w:tr>
    </w:tbl>
    <w:p>
      <w:pPr>
        <w:pStyle w:val="heading4Text"/>
        <w:rPr/>
      </w:pPr>
      <w:r>
        <w:rPr/>
      </w:r>
      <w:r>
        <w:br w:type="page"/>
      </w:r>
    </w:p>
    <w:p>
      <w:pPr>
        <w:pStyle w:val="Normal"/>
        <w:rPr/>
      </w:pPr>
      <w:r>
        <w:rPr/>
      </w:r>
    </w:p>
    <w:p>
      <w:pPr>
        <w:pStyle w:val="Heading1"/>
        <w:numPr>
          <w:ilvl w:val="0"/>
          <w:numId w:val="2"/>
        </w:numPr>
        <w:rPr/>
      </w:pPr>
      <w:r>
        <w:rPr/>
        <w:br/>
      </w:r>
      <w:bookmarkStart w:id="41" w:name="__RefHeading___Toc517698416"/>
      <w:r>
        <w:rPr/>
        <w:t>RESPONSES TO PROTESTS AND COMMENTS OF OTHER PARTIES</w:t>
      </w:r>
      <w:bookmarkEnd w:id="41"/>
    </w:p>
    <w:p>
      <w:pPr>
        <w:pStyle w:val="Heading1Text"/>
        <w:rPr/>
      </w:pPr>
      <w:r>
        <w:rPr/>
        <w:t>The Ruling ordered that SCE’s testimony “shall also address concerns raised in protests to the utilities’ ALs proposing cost-based rates for URG.”</w:t>
      </w:r>
      <w:r>
        <w:rPr>
          <w:rStyle w:val="FootnoteCharacters"/>
          <w:rStyle w:val="FootnoteReference"/>
        </w:rPr>
        <w:footnoteReference w:id="30"/>
      </w:r>
      <w:r>
        <w:rPr/>
        <w:t xml:space="preserve">  In this section of testimony, SCE responds to various protests to SCE’s advice letter and comments made by other parties in the course of this proceeding.</w:t>
      </w:r>
    </w:p>
    <w:p>
      <w:pPr>
        <w:pStyle w:val="Heading2"/>
        <w:numPr>
          <w:ilvl w:val="1"/>
          <w:numId w:val="2"/>
        </w:numPr>
        <w:ind w:hanging="0" w:start="0"/>
        <w:rPr/>
      </w:pPr>
      <w:bookmarkStart w:id="42" w:name="__RefHeading___Toc517698417"/>
      <w:bookmarkEnd w:id="42"/>
      <w:r>
        <w:rPr/>
        <w:t>TURN And Aglet’s Proposal To Eliminate The SONGS 2&amp;3 ICIP Overturns Existing Commission Decisions And Is Contrary To State Law</w:t>
      </w:r>
    </w:p>
    <w:p>
      <w:pPr>
        <w:pStyle w:val="Heading2Text"/>
        <w:rPr/>
      </w:pPr>
      <w:r>
        <w:rPr/>
        <w:t>The SONGS 2&amp;3 ICIP is cost-based and the difference, if any, between SCE’s costs and SONGS 2&amp;3 ICIP should be recovered as provided for in D.96-04-059 and Public Utilities Code Section 367(a)(4).  TURN and Aglet</w:t>
      </w:r>
      <w:r>
        <w:rPr>
          <w:rStyle w:val="FootnoteCharacters"/>
          <w:rStyle w:val="FootnoteReference"/>
        </w:rPr>
        <w:footnoteReference w:id="31"/>
      </w:r>
      <w:r>
        <w:rPr/>
        <w:t xml:space="preserve"> assert that the Commission should eliminate the San Onofre Nuclear Generating Station Unit Nos. 2 and 3 (SONGS 2&amp;3) Incremental Cost Incentive Pricing Mechanism (ICIP).  Not only is this contrary to state law and Commission precedent, but TURN’s analysis is flawed.  In the Rate Stabilization proceeding, TURN excluded the property taxes paid by SCE, and, in its Protest, TURN excluded income taxes from SONGS costs. </w:t>
      </w:r>
    </w:p>
    <w:p>
      <w:pPr>
        <w:pStyle w:val="Heading2"/>
        <w:numPr>
          <w:ilvl w:val="1"/>
          <w:numId w:val="2"/>
        </w:numPr>
        <w:ind w:hanging="0" w:start="0"/>
        <w:rPr/>
      </w:pPr>
      <w:bookmarkStart w:id="43" w:name="__RefHeading___Toc517698418"/>
      <w:bookmarkEnd w:id="43"/>
      <w:r>
        <w:rPr/>
        <w:t>Background On SONGS 2&amp;3 Ratemaking</w:t>
      </w:r>
    </w:p>
    <w:p>
      <w:pPr>
        <w:pStyle w:val="Heading2Text"/>
        <w:rPr/>
      </w:pPr>
      <w:r>
        <w:rPr/>
        <w:t>In November, 1994, SCE, San Diego Gas &amp; Electric Company (SDG&amp;E) and ORA filed a settlement agreement with the Commission in SCE’s Test Year 1995 General Rate Case.  Under the terms of that settlement:</w:t>
      </w:r>
    </w:p>
    <w:p>
      <w:pPr>
        <w:pStyle w:val="heading4Text"/>
        <w:numPr>
          <w:ilvl w:val="0"/>
          <w:numId w:val="6"/>
        </w:numPr>
        <w:rPr/>
      </w:pPr>
      <w:r>
        <w:rPr/>
        <w:t>SCE could amortize its SONGS 2&amp;3 sunk costs over an 8</w:t>
        <w:noBreakHyphen/>
        <w:t>year period ending December 31, 2003 at a reduced rate of return;</w:t>
      </w:r>
      <w:r>
        <w:rPr>
          <w:rStyle w:val="FootnoteCharacters"/>
          <w:rStyle w:val="FootnoteReference"/>
        </w:rPr>
        <w:footnoteReference w:id="32"/>
      </w:r>
    </w:p>
    <w:p>
      <w:pPr>
        <w:pStyle w:val="heading4Text"/>
        <w:numPr>
          <w:ilvl w:val="0"/>
          <w:numId w:val="6"/>
        </w:numPr>
        <w:rPr/>
      </w:pPr>
      <w:r>
        <w:rPr/>
        <w:t>SCE took on the operational risk for SONGS 2&amp;3 going forward by agreeing to ICIP, which set a fixed cents per kilowatt-hour price, for SONGS 2&amp;3 power through December 31, 2003;</w:t>
      </w:r>
    </w:p>
    <w:p>
      <w:pPr>
        <w:pStyle w:val="heading4Text"/>
        <w:numPr>
          <w:ilvl w:val="0"/>
          <w:numId w:val="6"/>
        </w:numPr>
        <w:rPr/>
      </w:pPr>
      <w:r>
        <w:rPr/>
        <w:t>SCE could shut down SONGS 2&amp;3 at any time and continue to recover its unamortized SONGS 2&amp;3 sunk costs; and</w:t>
      </w:r>
    </w:p>
    <w:p>
      <w:pPr>
        <w:pStyle w:val="heading4Text"/>
        <w:numPr>
          <w:ilvl w:val="0"/>
          <w:numId w:val="6"/>
        </w:numPr>
        <w:rPr/>
      </w:pPr>
      <w:r>
        <w:rPr/>
        <w:t>After the end of the SONGS 2&amp;3 sunk cost amortization and ICIP period on December 31, 2003, SCE’s shareholders would retain 100% of SONGS 2&amp;3 profits.</w:t>
      </w:r>
    </w:p>
    <w:p>
      <w:pPr>
        <w:pStyle w:val="Heading2Text"/>
        <w:ind w:hanging="0" w:end="0"/>
        <w:rPr/>
      </w:pPr>
      <w:r>
        <w:rPr/>
        <w:t>The SONGS 2&amp;3 Settlement was contested by other parties, and evidentiary hearings were held on the reasonableness of the settlement.</w:t>
      </w:r>
    </w:p>
    <w:p>
      <w:pPr>
        <w:pStyle w:val="Heading2Text"/>
        <w:rPr/>
      </w:pPr>
      <w:r>
        <w:rPr/>
        <w:t>In D.96-01-011, the Commission rejected the original SONGS 2&amp;3 Settlement, but suggested certain modifications taking away potential upsides for SCE.  The Commission stated that it would approve the settlement if SCE and SDG&amp;E agreed to the modifications.  Those modifications included:</w:t>
      </w:r>
    </w:p>
    <w:p>
      <w:pPr>
        <w:pStyle w:val="heading4Text"/>
        <w:numPr>
          <w:ilvl w:val="0"/>
          <w:numId w:val="3"/>
        </w:numPr>
        <w:tabs>
          <w:tab w:val="clear" w:pos="360"/>
          <w:tab w:val="left" w:pos="2520" w:leader="none"/>
        </w:tabs>
        <w:rPr/>
      </w:pPr>
      <w:r>
        <w:rPr/>
        <w:t xml:space="preserve">The Commission reduced the right of SCE’s shareholders to benefits from post-2003 operation from 100% to 50%; and </w:t>
      </w:r>
    </w:p>
    <w:p>
      <w:pPr>
        <w:pStyle w:val="heading4Text"/>
        <w:numPr>
          <w:ilvl w:val="0"/>
          <w:numId w:val="3"/>
        </w:numPr>
        <w:tabs>
          <w:tab w:val="clear" w:pos="360"/>
          <w:tab w:val="left" w:pos="2520" w:leader="none"/>
        </w:tabs>
        <w:rPr/>
      </w:pPr>
      <w:r>
        <w:rPr/>
        <w:t xml:space="preserve">The Commission would review whether SCE could continue SONGS 2&amp;3 sunk cost recovery after any decision to close the plants.  </w:t>
      </w:r>
    </w:p>
    <w:p>
      <w:pPr>
        <w:pStyle w:val="Heading2Text"/>
        <w:rPr/>
      </w:pPr>
      <w:r>
        <w:rPr/>
        <w:t>SCE accepted these modifications by filing the SONGS 2&amp;3 Proposal incorporating the changes.  The SONGS 2&amp;3 Proposal was ultimately adopted by the Commission in D.96-04-059 and was affirmed by the Legislature in AB 1890, at Public Utilities Code Section 367(a)(4).</w:t>
      </w:r>
    </w:p>
    <w:p>
      <w:pPr>
        <w:pStyle w:val="Heading2"/>
        <w:numPr>
          <w:ilvl w:val="1"/>
          <w:numId w:val="2"/>
        </w:numPr>
        <w:ind w:hanging="0" w:start="0"/>
        <w:rPr/>
      </w:pPr>
      <w:bookmarkStart w:id="44" w:name="__RefHeading___Toc517698419"/>
      <w:bookmarkEnd w:id="44"/>
      <w:r>
        <w:rPr/>
        <w:t>The SONGS 2&amp;3 ICIP Mechanism Reasonably Compensates Edison For Operational Risks</w:t>
      </w:r>
    </w:p>
    <w:p>
      <w:pPr>
        <w:pStyle w:val="Heading2Text"/>
        <w:rPr/>
      </w:pPr>
      <w:r>
        <w:rPr/>
        <w:t>The Commission-adopted SONGS 2&amp;3 ICIP mechanism</w:t>
      </w:r>
      <w:r>
        <w:rPr>
          <w:rStyle w:val="FootnoteCharacters"/>
          <w:rStyle w:val="FootnoteReference"/>
        </w:rPr>
        <w:footnoteReference w:id="33"/>
      </w:r>
      <w:r>
        <w:rPr/>
        <w:t xml:space="preserve"> set a price for each kilowatt-hour (kWh) of power generated at SONGS 2&amp;3.  The cost-based prices set in the SONGS 2&amp;3 ICIP were part of a negotiated settlement, including consideration of the fact the risk of plant operation was shifted to SCE for the entire 8-year period.  Likewise, the SONGS 2&amp;3 ICIP prices were authorized by the Commission for the entire period – through 2003.  Actual costs during the ICIP period may be higher or lower than the ICIP revenues.  This is consistent with SCE taking the risk for plant operation and performance.</w:t>
      </w:r>
    </w:p>
    <w:p>
      <w:pPr>
        <w:pStyle w:val="Heading2Text"/>
        <w:rPr/>
      </w:pPr>
      <w:r>
        <w:rPr/>
        <w:t xml:space="preserve">Any fair-minded assessment of SONGS 2&amp;3 operations over the last few years and the dedication to safe and reliable performance demonstrated by the SCE employees at SONGS 2&amp;3 would conclude that ICIP created appropriate incentives for exceptional performance.  When the Commission adopted SONGS 2&amp;3 ICIP ratemaking in early 1996, it shifted the responsibility and risk for performance of the plants from ratepayers to SCE’s shareholders.  In return, if the employees and management were able to achieve superior performance, the Company would be entitled to receive the benefits from that superior performance.  Similarly, if plant performance results were poor, SCE would suffer the financial consequences. </w:t>
      </w:r>
    </w:p>
    <w:p>
      <w:pPr>
        <w:pStyle w:val="Heading2Text"/>
        <w:rPr/>
      </w:pPr>
      <w:r>
        <w:rPr/>
        <w:t>From April 1996 through May 31, 2001, SONGS 2&amp;3 achieved an average capacity factor in excess of 85%, generating a total of over 61 billion kilowatt hours</w:t>
      </w:r>
      <w:r>
        <w:rPr>
          <w:b/>
        </w:rPr>
        <w:t>.</w:t>
      </w:r>
      <w:r>
        <w:rPr>
          <w:rStyle w:val="FootnoteCharacters"/>
          <w:rStyle w:val="FootnoteReference"/>
          <w:b/>
        </w:rPr>
        <w:footnoteReference w:id="34"/>
      </w:r>
      <w:r>
        <w:rPr/>
        <w:t xml:space="preserve">  By any objective measure, SONGS 2&amp;3 have provided significant benefits to our customers. The only profits earned by SCE on SONGS 2&amp;3 operation are the difference between its operating costs and the average 4 cents per kWh price adopted by the Commission and affirmed by the legislature. During the ICIP period, at times the costs to operate SONGS 2&amp;3 were greater than the ICIP revenues, and at other times they have been less.  SONGS 2&amp;3 ICIP has been beneficial to SCE’s customers.</w:t>
      </w:r>
    </w:p>
    <w:p>
      <w:pPr>
        <w:pStyle w:val="Heading2Text"/>
        <w:rPr/>
      </w:pPr>
      <w:r>
        <w:rPr/>
        <w:t xml:space="preserve">The recent SONGS Unit 3 outage demonstrates the financial risk Edison bears under ICIP.  On June 1, 2001, SONGS Unit 3 returned to service after an outage lasting 117 days to repair damage from failure of an electrical component resulting in a fire.  The electrical circuit breaker failure and subsequent fire had significant consequences beyond just the damage to the electrical components and cabling.  Loss of electrical power supply in the secondary side of the plant also resulted in loss of lubricating oil to the turbine generator system while it was still rotating.  This caused severe and extensive damage to the turbine generator rotors, bearings, and other components.  Several hundred SONGS 2&amp;3 personnel worked round-the-clock to return Unit 3 to service before the summer peak demand period.  Under the terms of ICIP, SCE lost about $840,000 of revenue per day, while working to repair the damage to bring the plant back on line safely in as short a time as possible.  Over the course of the Unit 3 outage, SCE lost revenues of about $100 million.  </w:t>
      </w:r>
    </w:p>
    <w:p>
      <w:pPr>
        <w:pStyle w:val="Heading2"/>
        <w:numPr>
          <w:ilvl w:val="1"/>
          <w:numId w:val="2"/>
        </w:numPr>
        <w:ind w:hanging="0" w:start="0"/>
        <w:rPr/>
      </w:pPr>
      <w:bookmarkStart w:id="45" w:name="__RefHeading___Toc517698420"/>
      <w:bookmarkEnd w:id="45"/>
      <w:r>
        <w:rPr/>
        <w:t>Effect Of TURN’s Proposal On Ratemaking For SONGS 2&amp;3</w:t>
      </w:r>
    </w:p>
    <w:p>
      <w:pPr>
        <w:pStyle w:val="Heading2Text"/>
        <w:rPr/>
      </w:pPr>
      <w:r>
        <w:rPr/>
        <w:t xml:space="preserve">TURN and Aglet propose to reverse the Commission-adopted SONGS 2&amp;3 ratemaking, which was affirmed by the Legislature.  TURN proposes to eliminate SONGS 2&amp;3 ICIP as the ratemaking mechanism for recovery of SONGS 2&amp;3 costs and, instead, have SCE recover through a balancing account the “actual costs” of SONGS 2&amp;3 operation.  This proposal ignores the fact </w:t>
      </w:r>
      <w:r>
        <w:rPr>
          <w:rFonts w:cs="Century Schoolbook" w:ascii="Century Schoolbook" w:hAnsi="Century Schoolbook"/>
        </w:rPr>
        <w:t>SONGS 2&amp;3 ICIP is, by its very nature and its title, a cost-based rate.  The ICIP assigns all operational and financial risk to SCE, while offering a limited opportunity for profit and potential exposure to losses</w:t>
      </w:r>
      <w:r>
        <w:rPr/>
        <w:t xml:space="preserve"> </w:t>
      </w:r>
      <w:r>
        <w:rPr>
          <w:rFonts w:cs="Century Schoolbook" w:ascii="Century Schoolbook" w:hAnsi="Century Schoolbook"/>
        </w:rPr>
        <w:t xml:space="preserve">based upon cost containment and plant performance.  </w:t>
      </w:r>
      <w:r>
        <w:rPr/>
        <w:t xml:space="preserve">In the SONGS 2&amp;3 ICIP mechanism, shareholders assumed operational risk of plant performance.  Under this ratemaking approach, the opportunity for profits is balanced with the risk of losses.  </w:t>
      </w:r>
      <w:r>
        <w:rPr>
          <w:rFonts w:cs="Century Schoolbook" w:ascii="Century Schoolbook" w:hAnsi="Century Schoolbook"/>
        </w:rPr>
        <w:t>Furthermore, SCE’s opportunity for profit is limited by the design and operational limits of the plants.</w:t>
      </w:r>
      <w:r>
        <w:rPr>
          <w:rStyle w:val="FootnoteCharacters"/>
          <w:rStyle w:val="FootnoteReference"/>
          <w:rFonts w:cs="Century Schoolbook" w:ascii="Century Schoolbook" w:hAnsi="Century Schoolbook"/>
        </w:rPr>
        <w:footnoteReference w:id="35"/>
      </w:r>
    </w:p>
    <w:p>
      <w:pPr>
        <w:pStyle w:val="Heading1Text"/>
        <w:rPr>
          <w:rFonts w:ascii="Century Schoolbook" w:hAnsi="Century Schoolbook" w:cs="Century Schoolbook"/>
        </w:rPr>
      </w:pPr>
      <w:r>
        <w:rPr>
          <w:rFonts w:cs="Century Schoolbook" w:ascii="Century Schoolbook" w:hAnsi="Century Schoolbook"/>
        </w:rPr>
        <w:t>The Commission adopted present SONGS 2&amp;3 ICIP pricing in D.96</w:t>
        <w:noBreakHyphen/>
        <w:t>01</w:t>
        <w:noBreakHyphen/>
        <w:t>011 and D.96-04-059.  The Legislature affirmed the SONGS 2&amp;3 ICIP pricing in Assembly Bill 1890, at Public Utilities Code Section 367(a)(4), which states:</w:t>
      </w:r>
    </w:p>
    <w:p>
      <w:pPr>
        <w:pStyle w:val="Quote1"/>
        <w:rPr/>
      </w:pPr>
      <w:r>
        <w:rPr/>
        <w:t>Nuclear Incremental Cost Incentive plans for the San Onofre Nuclear Generating Station shall continue for the full term as authorized by the Commission in Decision 96</w:t>
        <w:noBreakHyphen/>
        <w:t>01</w:t>
        <w:noBreakHyphen/>
        <w:t>011 and Decision 96-04-059; provided that the recovery shall not extend beyond December 31, 2003.</w:t>
      </w:r>
      <w:r>
        <w:rPr>
          <w:rStyle w:val="FootnoteCharacters"/>
          <w:rStyle w:val="FootnoteReference"/>
        </w:rPr>
        <w:footnoteReference w:id="36"/>
      </w:r>
    </w:p>
    <w:p>
      <w:pPr>
        <w:pStyle w:val="Heading2Text"/>
        <w:ind w:hanging="0" w:end="0"/>
        <w:rPr/>
      </w:pPr>
      <w:r>
        <w:rPr/>
        <w:t>SCE has not proposed to extend the ICIP beyond 2003.  The Commission would unlawfully ignore its own orders and state law if it denies recovery of SONGS 2&amp;3 ICIP revenues through 2003.</w:t>
      </w:r>
    </w:p>
    <w:p>
      <w:pPr>
        <w:pStyle w:val="Heading2Text"/>
        <w:rPr/>
      </w:pPr>
      <w:r>
        <w:rPr/>
        <w:t>To bolster its argument, TURN’s Protest cites its testimony in this proceeding that SCE’s revenues between 1996 and 2000 were $341 million greater than “actual costs of running [SONGS 2&amp;3].”</w:t>
      </w:r>
      <w:r>
        <w:rPr>
          <w:rStyle w:val="FootnoteCharacters"/>
          <w:rStyle w:val="FootnoteReference"/>
        </w:rPr>
        <w:footnoteReference w:id="37"/>
      </w:r>
      <w:r>
        <w:rPr/>
        <w:t xml:space="preserve">  TURN deliberately leaves out: (1) the effect of income taxes on the $341 million; and (2) the over 61 billion kWh of electricity provided to SCE customers during the ICIP period to date.  Under SONGS 2&amp;3 ratemaking, SCE assumed all operational and financial risk of SONGS 2&amp;3 operation.  Contrary to TURN’s assertions, cost-based rates should include (1) so called “actual costs,” (2) income taxes, and (3) a reasonable opportunity for return on investment to compensate shareholders for investing in EIX.  Contrary to TURN’s assertions, an opportunity for shareholder return on investment is an “actual cost” of operation.  Without an opportunity to earn a return on investment, SCE’s ability to attract capital would be significantly diminished.</w:t>
      </w:r>
    </w:p>
    <w:p>
      <w:pPr>
        <w:pStyle w:val="Heading2"/>
        <w:numPr>
          <w:ilvl w:val="1"/>
          <w:numId w:val="2"/>
        </w:numPr>
        <w:ind w:hanging="0" w:start="0"/>
        <w:rPr/>
      </w:pPr>
      <w:bookmarkStart w:id="46" w:name="__RefHeading___Toc517698421"/>
      <w:bookmarkEnd w:id="46"/>
      <w:r>
        <w:rPr/>
        <w:t>Contrary To TURN’s Assertions, The 10-Year Recovery Period For Nuclear Sunk Costs Is Reasonable</w:t>
      </w:r>
    </w:p>
    <w:p>
      <w:pPr>
        <w:pStyle w:val="Heading1Text"/>
        <w:rPr/>
      </w:pPr>
      <w:r>
        <w:rPr/>
        <w:t>TURN’s comments assert that nuclear sunk costs should be recovered over the remaining useful life of the nuclear units based on their remaining Nuclear Regulatory Commission license period.</w:t>
      </w:r>
      <w:r>
        <w:rPr>
          <w:rStyle w:val="FootnoteCharacters"/>
          <w:rStyle w:val="FootnoteReference"/>
        </w:rPr>
        <w:footnoteReference w:id="38"/>
      </w:r>
      <w:r>
        <w:rPr/>
        <w:t xml:space="preserve">  In the MOU, SCE and CDWR agreed that nuclear sunk costs should be recovered by December 31, 2010.  It is entirely appropriate to recover Nuclear Sunk Costs over a ten-year period as set forth in the MOU.</w:t>
      </w:r>
    </w:p>
    <w:p>
      <w:pPr>
        <w:pStyle w:val="Normal"/>
        <w:rPr>
          <w:b/>
        </w:rPr>
      </w:pPr>
      <w:r>
        <w:rPr>
          <w:b/>
        </w:rPr>
      </w:r>
    </w:p>
    <w:p>
      <w:pPr>
        <w:pStyle w:val="Heading2"/>
        <w:numPr>
          <w:ilvl w:val="1"/>
          <w:numId w:val="2"/>
        </w:numPr>
        <w:ind w:hanging="0" w:start="0"/>
        <w:rPr/>
      </w:pPr>
      <w:bookmarkStart w:id="47" w:name="__RefHeading___Toc517698422"/>
      <w:bookmarkEnd w:id="47"/>
      <w:r>
        <w:rPr/>
        <w:t>SCE’s Plan Does Not Increase Or Decrease The Risk Of Transition Cost Recovery</w:t>
      </w:r>
    </w:p>
    <w:p>
      <w:pPr>
        <w:pStyle w:val="Heading2Text"/>
        <w:rPr/>
      </w:pPr>
      <w:r>
        <w:rPr/>
        <w:t>In its protest to AL 1534-E-A, ORA claimed that the plan set forth in AL 1534-E-A eliminated SCE’s risk of recovery of certain transition costs by moving certain debit entries from the TCBA to the TRA.  ORA failed to note that while SCE has moved debit entries from the TCBA to the TRA, it also moved credit entries, i.e., revenues, from the TCBA to the TRA as well.  All of this is part and parcel of eliminating the TCBA, the ratemaking mechanism where these costs and revenues are currently recorded.  SCE proposed to move these items to the revised TRA for the opportunity for recovery and refund through that mechanism.  D. 01-03-082 required monthly transfers of debit and credit balances from the TRA to the TCBA.  Thus, all entries would ultimately be recorded in either the TCBA (as it stands now) or the TRA (per SCE’s proposal.)  Changing the account in which these items are all recorded will not affect the ultimate transition cost recovery.</w:t>
      </w:r>
    </w:p>
    <w:p>
      <w:pPr>
        <w:pStyle w:val="Normal"/>
        <w:rPr>
          <w:b/>
        </w:rPr>
      </w:pPr>
      <w:r>
        <w:rPr>
          <w:b/>
        </w:rPr>
      </w:r>
    </w:p>
    <w:p>
      <w:pPr>
        <w:pStyle w:val="Heading2"/>
        <w:numPr>
          <w:ilvl w:val="1"/>
          <w:numId w:val="2"/>
        </w:numPr>
        <w:ind w:hanging="0" w:start="0"/>
        <w:rPr/>
      </w:pPr>
      <w:bookmarkStart w:id="48" w:name="__RefHeading___Toc517698423"/>
      <w:bookmarkEnd w:id="48"/>
      <w:r>
        <w:rPr/>
        <w:t>The Allocation of Revenues Prior to Activation of the Trigger Mechanism is Appropriate</w:t>
      </w:r>
    </w:p>
    <w:p>
      <w:pPr>
        <w:pStyle w:val="Heading2Text"/>
        <w:rPr/>
      </w:pPr>
      <w:r>
        <w:rPr/>
        <w:t>In its Protest to AL 1534-E-A, ORA claims that “if financial conditions remain poor, the QFs could be short-changed up to $500 million before the trigger brings in more revenues.”</w:t>
      </w:r>
      <w:r>
        <w:rPr>
          <w:rStyle w:val="FootnoteCharacters"/>
          <w:rStyle w:val="FootnoteReference"/>
        </w:rPr>
        <w:footnoteReference w:id="39"/>
      </w:r>
      <w:r>
        <w:rPr/>
        <w:t xml:space="preserve">  Clearly, the Commission needs to set a URG revenue requirement for SCE high enough to cover all URG costs, including QF costs.  The Proposal set forth in Chapter II of this testimony meets this objective.</w:t>
      </w:r>
    </w:p>
    <w:p>
      <w:pPr>
        <w:pStyle w:val="Heading2"/>
        <w:numPr>
          <w:ilvl w:val="1"/>
          <w:numId w:val="2"/>
        </w:numPr>
        <w:ind w:hanging="0" w:start="0"/>
        <w:rPr/>
      </w:pPr>
      <w:bookmarkStart w:id="49" w:name="__RefHeading___Toc517698424"/>
      <w:bookmarkEnd w:id="49"/>
      <w:r>
        <w:rPr/>
        <w:t>The Rate of Return on Common Equity for Utility Retained Generation Should Not Be Reduced Below 11.6%</w:t>
      </w:r>
    </w:p>
    <w:p>
      <w:pPr>
        <w:pStyle w:val="Heading2Text"/>
        <w:rPr/>
      </w:pPr>
      <w:r>
        <w:rPr/>
        <w:t>In setting SCE’s revenue requirement for URG, the Commission should authorize SCE’s return on common equity (ROE) to be at least 11.6%.  This is clearly indicated by the MOU.  In fact, the MOU permits the Commission to authorize an ROE for SCE that exceeds 11.6%, if the Commission finds this to be necessary and reasonable.</w:t>
      </w:r>
      <w:r>
        <w:rPr>
          <w:rStyle w:val="FootnoteCharacters"/>
          <w:rStyle w:val="FootnoteReference"/>
        </w:rPr>
        <w:footnoteReference w:id="40"/>
      </w:r>
      <w:r>
        <w:rPr/>
        <w:t xml:space="preserve">  However, even without the MOU, there is strong support an ROE of at least 11.6% for URG, as discussed in detail below.</w:t>
      </w:r>
    </w:p>
    <w:p>
      <w:pPr>
        <w:pStyle w:val="Heading3"/>
        <w:numPr>
          <w:ilvl w:val="2"/>
          <w:numId w:val="2"/>
        </w:numPr>
        <w:ind w:hanging="0" w:start="0"/>
        <w:rPr/>
      </w:pPr>
      <w:bookmarkStart w:id="50" w:name="__RefHeading___Toc517698425"/>
      <w:bookmarkEnd w:id="50"/>
      <w:r>
        <w:rPr/>
        <w:t>Before Unbundling of SCE’s Generation Commenced, SCE’s Authorized ROE Was 11.6%; That Is The Minimum ROE That The Commission Should Authorize Now, Irrespective Of The MOU</w:t>
      </w:r>
    </w:p>
    <w:p>
      <w:pPr>
        <w:pStyle w:val="Heading4"/>
        <w:numPr>
          <w:ilvl w:val="3"/>
          <w:numId w:val="2"/>
        </w:numPr>
        <w:ind w:hanging="0" w:start="0"/>
        <w:rPr/>
      </w:pPr>
      <w:bookmarkStart w:id="51" w:name="__RefHeading___Toc517698426"/>
      <w:bookmarkEnd w:id="51"/>
      <w:r>
        <w:rPr/>
        <w:t>Further Unbundling of SCE’s Generation Has Been Reversed; SCE Remains An Integrated Utility</w:t>
      </w:r>
    </w:p>
    <w:p>
      <w:pPr>
        <w:pStyle w:val="heading4Text"/>
        <w:rPr/>
      </w:pPr>
      <w:r>
        <w:rPr/>
        <w:t>The actions of the Commission and the Legislature have caused remaining utility-owned generation to be retained for the benefit of California utility ratepayers.  This effectively reverses any further unbundling of utility generation.</w:t>
      </w:r>
    </w:p>
    <w:p>
      <w:pPr>
        <w:pStyle w:val="heading4Text"/>
        <w:rPr/>
      </w:pPr>
      <w:r>
        <w:rPr/>
        <w:t>First, the Legislature enacted ABX1-6, which prohibits SCE from divesting any of its remaining generation facilities before January 1, 2006 and provides that all of its generation facilities remain dedicated to service for the benefit of California ratepayers.  In concert with ABX1-6, the Commission suspended the pending divestiture of SCE’s ownership shares of Mohave Generating Station,</w:t>
      </w:r>
      <w:r>
        <w:rPr>
          <w:rStyle w:val="FootnoteCharacters"/>
          <w:rStyle w:val="FootnoteReference"/>
        </w:rPr>
        <w:footnoteReference w:id="41"/>
      </w:r>
      <w:r>
        <w:rPr/>
        <w:t xml:space="preserve"> Palo Verde Nuclear Generating Station, and Four Corners Generating Station.</w:t>
      </w:r>
      <w:r>
        <w:rPr>
          <w:rStyle w:val="FootnoteCharacters"/>
          <w:rStyle w:val="FootnoteReference"/>
        </w:rPr>
        <w:footnoteReference w:id="42"/>
      </w:r>
    </w:p>
    <w:p>
      <w:pPr>
        <w:pStyle w:val="heading4Text"/>
        <w:rPr/>
      </w:pPr>
      <w:r>
        <w:rPr/>
        <w:t xml:space="preserve">Although SCE’s application to value its hydro generation assets under Section 377 of the Public Utilities Code is still pending before the Commission, this application contemplated the retention of the hydro generation assets within SCE.  </w:t>
      </w:r>
    </w:p>
    <w:p>
      <w:pPr>
        <w:pStyle w:val="heading4Text"/>
        <w:rPr/>
      </w:pPr>
      <w:r>
        <w:rPr/>
        <w:t>By these actions, SCE will remain an integrated utility, engaged in all parts of the electricity supply chain from electric generation and supply to distribution of power to retail customers.  Further, SCE’s generation once again will be priced at cost of service, as it was before electric restructuring began.  Going forward, SCE’s utility  rate of return should be set based on integrated utility rates of return rather than unbundled returns.  As a result, an integrated return should be used as the basis for URG in this case.</w:t>
      </w:r>
    </w:p>
    <w:p>
      <w:pPr>
        <w:pStyle w:val="Heading4"/>
        <w:numPr>
          <w:ilvl w:val="3"/>
          <w:numId w:val="2"/>
        </w:numPr>
        <w:ind w:hanging="0" w:start="0"/>
        <w:rPr/>
      </w:pPr>
      <w:bookmarkStart w:id="52" w:name="__RefHeading___Toc517698427"/>
      <w:bookmarkEnd w:id="52"/>
      <w:r>
        <w:rPr/>
        <w:t>SCE’s Last Cost Of Capital Application As An Integrated Utility Set SCE’s Authorized ROE At 11.6%, Which Is The Minimum That Should Prevail Today</w:t>
      </w:r>
    </w:p>
    <w:p>
      <w:pPr>
        <w:pStyle w:val="heading4Text"/>
        <w:rPr/>
      </w:pPr>
      <w:r>
        <w:rPr/>
        <w:t>SCE’s last cost of capital application before electric restructuring established SCE’s ROE and SCE’s authorized capital structure for 1997.</w:t>
      </w:r>
      <w:r>
        <w:rPr>
          <w:rStyle w:val="FootnoteCharacters"/>
          <w:rStyle w:val="FootnoteReference"/>
        </w:rPr>
        <w:footnoteReference w:id="43"/>
      </w:r>
      <w:r>
        <w:rPr/>
        <w:t xml:space="preserve">  At that time, SCE’s ROE was set at 11.60%, and SCE’s authorized capital structure was set at 48% common equity, 47% long-term debt, and 5% preferred stock.</w:t>
      </w:r>
      <w:r>
        <w:rPr>
          <w:rStyle w:val="FootnoteCharacters"/>
          <w:rStyle w:val="FootnoteReference"/>
        </w:rPr>
        <w:footnoteReference w:id="44"/>
      </w:r>
      <w:r>
        <w:rPr/>
        <w:t xml:space="preserve">  </w:t>
      </w:r>
    </w:p>
    <w:p>
      <w:pPr>
        <w:pStyle w:val="heading4Text"/>
        <w:rPr/>
      </w:pPr>
      <w:r>
        <w:rPr/>
        <w:t xml:space="preserve">Circumstances surrounding the adoption of an ROE of 11.6% have changed, and utility bond yields have increased since 1997.  SCE’s business risk has increased significantly since 1997.  Even more important, SCE cannot attract capital at </w:t>
      </w:r>
      <w:r>
        <w:rPr>
          <w:u w:val="single"/>
        </w:rPr>
        <w:t>any</w:t>
      </w:r>
      <w:r>
        <w:rPr/>
        <w:t xml:space="preserve"> investment grade bond yield or rate of return due to the current financial crisis.  Therefore, the ROE authorized for URG should be at least 11.6%, irrespective of whether the MOU is adopted.  </w:t>
      </w:r>
    </w:p>
    <w:p>
      <w:pPr>
        <w:pStyle w:val="Heading2"/>
        <w:numPr>
          <w:ilvl w:val="1"/>
          <w:numId w:val="2"/>
        </w:numPr>
        <w:ind w:hanging="0" w:start="0"/>
        <w:rPr/>
      </w:pPr>
      <w:bookmarkStart w:id="53" w:name="__RefHeading___Toc517698428"/>
      <w:bookmarkEnd w:id="53"/>
      <w:r>
        <w:rPr/>
        <w:t>Intervenors’ Previous Arguments Regarding ROE For Utility Retained Generation Should Be Rejected; Any Similar Arguments In Response To This Testimony Should Also Be Rejected</w:t>
      </w:r>
    </w:p>
    <w:p>
      <w:pPr>
        <w:pStyle w:val="Heading2Text"/>
        <w:rPr/>
      </w:pPr>
      <w:r>
        <w:rPr/>
        <w:t>In previous comments in this docket, Aglet,</w:t>
      </w:r>
      <w:r>
        <w:rPr>
          <w:rStyle w:val="FootnoteCharacters"/>
          <w:rStyle w:val="FootnoteReference"/>
        </w:rPr>
        <w:footnoteReference w:id="45"/>
      </w:r>
      <w:r>
        <w:rPr/>
        <w:t xml:space="preserve"> ORA,</w:t>
      </w:r>
      <w:r>
        <w:rPr>
          <w:rStyle w:val="FootnoteCharacters"/>
          <w:rStyle w:val="FootnoteReference"/>
        </w:rPr>
        <w:footnoteReference w:id="46"/>
      </w:r>
      <w:r>
        <w:rPr/>
        <w:t xml:space="preserve"> and TURN</w:t>
      </w:r>
      <w:r>
        <w:rPr>
          <w:rStyle w:val="FootnoteCharacters"/>
          <w:rStyle w:val="FootnoteReference"/>
        </w:rPr>
        <w:footnoteReference w:id="47"/>
      </w:r>
      <w:r>
        <w:rPr/>
        <w:t xml:space="preserve"> all argued that 11.6% is an excessive ROE for SCE.  Their arguments are baseless and should be rejected, as discussed in more detail below.  </w:t>
      </w:r>
    </w:p>
    <w:p>
      <w:pPr>
        <w:pStyle w:val="Heading3"/>
        <w:numPr>
          <w:ilvl w:val="2"/>
          <w:numId w:val="2"/>
        </w:numPr>
        <w:ind w:hanging="0" w:start="0"/>
        <w:rPr/>
      </w:pPr>
      <w:bookmarkStart w:id="54" w:name="__RefHeading___Toc517698429"/>
      <w:bookmarkEnd w:id="54"/>
      <w:r>
        <w:rPr/>
        <w:t>Even the MOU May Not Reduce SCE’s Business Risk To What It Was Before Electric Restructuring</w:t>
      </w:r>
    </w:p>
    <w:p>
      <w:pPr>
        <w:pStyle w:val="Heading3Text1"/>
        <w:rPr/>
      </w:pPr>
      <w:r>
        <w:rPr/>
        <w:t>In supporting its argument for a potentially lower ROE, ORA asserted that the MOU will make SCE’s business risk “very much the same as what existed prior to electric restructuring.”</w:t>
      </w:r>
      <w:r>
        <w:rPr>
          <w:rStyle w:val="FootnoteCharacters"/>
          <w:rStyle w:val="FootnoteReference"/>
        </w:rPr>
        <w:footnoteReference w:id="48"/>
      </w:r>
      <w:r>
        <w:rPr/>
        <w:t xml:space="preserve">  Although SCE wishes that were true,  it is much more likely that investors will view our risks as substantially greater than before restructuring.  The MOU calls for SCE to be restored to an investment grade credit rating and to resume power procurement for its entire net</w:t>
        <w:noBreakHyphen/>
        <w:t>short position in 2003.  The MOU also provides for mechanisms to ensure that SCE will promptly recover its power procurement costs and to mitigate retrospective reasonableness of SCE’s power procurement practices.</w:t>
      </w:r>
    </w:p>
    <w:p>
      <w:pPr>
        <w:pStyle w:val="Heading3Text1"/>
        <w:rPr/>
      </w:pPr>
      <w:r>
        <w:rPr/>
        <w:t>Nonetheless, before electric restructuring began, SCE was an A+-rated integrated electric utility.  Restoration to an investment grade credit only implies that SCE’s bond rating will be BBB or better.  In time, SCE may regain an A rating, but that event will not occur soon.  As long as SCE’s bond rating is below A+, SCE will clearly be a riskier utility.</w:t>
      </w:r>
    </w:p>
    <w:p>
      <w:pPr>
        <w:pStyle w:val="Heading3"/>
        <w:numPr>
          <w:ilvl w:val="2"/>
          <w:numId w:val="2"/>
        </w:numPr>
        <w:ind w:hanging="0" w:start="0"/>
        <w:rPr/>
      </w:pPr>
      <w:bookmarkStart w:id="55" w:name="__RefHeading___Toc517698430"/>
      <w:bookmarkEnd w:id="55"/>
      <w:r>
        <w:rPr/>
        <w:t>Interest Rate Increases Also Justify a Higher ROE</w:t>
      </w:r>
    </w:p>
    <w:p>
      <w:pPr>
        <w:pStyle w:val="Heading3Text1"/>
        <w:rPr/>
      </w:pPr>
      <w:r>
        <w:rPr/>
        <w:t>As noted above, SCE’s authorized ROE for 1997 was 11.6%.  Moody’s Aa public utility bond yield for 1997 was 7.55% (twelve-months-ending December 1997).</w:t>
      </w:r>
      <w:r>
        <w:rPr>
          <w:rStyle w:val="FootnoteCharacters"/>
          <w:rStyle w:val="FootnoteReference"/>
        </w:rPr>
        <w:footnoteReference w:id="49"/>
      </w:r>
      <w:r>
        <w:rPr/>
        <w:t xml:space="preserve">  The corresponding yield for the latest twelve month period is 7.88% (twelve-months-ending May 2001).</w:t>
      </w:r>
      <w:r>
        <w:rPr>
          <w:rStyle w:val="FootnoteCharacters"/>
          <w:rStyle w:val="FootnoteReference"/>
        </w:rPr>
        <w:footnoteReference w:id="50"/>
      </w:r>
      <w:r>
        <w:rPr/>
        <w:t xml:space="preserve">  Even if SCE’s business risk today were identical to what it was in 1997, which it is not, SCE would deserve a higher authorized ROE based on increased interest rates alone. </w:t>
      </w:r>
    </w:p>
    <w:p>
      <w:pPr>
        <w:pStyle w:val="Heading3"/>
        <w:numPr>
          <w:ilvl w:val="2"/>
          <w:numId w:val="2"/>
        </w:numPr>
        <w:ind w:hanging="0" w:start="0"/>
        <w:rPr/>
      </w:pPr>
      <w:bookmarkStart w:id="56" w:name="__RefHeading___Toc517698431"/>
      <w:bookmarkEnd w:id="56"/>
      <w:r>
        <w:rPr/>
        <w:t>Burned Once, Investors Will Be Twice Wary, And SCE Will Require A Fair ROE To Attract Them</w:t>
      </w:r>
    </w:p>
    <w:p>
      <w:pPr>
        <w:pStyle w:val="Heading3Text1"/>
        <w:rPr/>
      </w:pPr>
      <w:r>
        <w:rPr/>
        <w:t>PG&amp;E has declared bankruptcy, and SCE is threatened with bankruptcy.  Investors are facing the possibility of loss of their investments in both utilities.  SCE entered into the MOU because it is the best way for SCE’s investors to avoid this fate.  If everything falls into place, the MOU may achieve its objective and restore SCE to financial viability.</w:t>
      </w:r>
    </w:p>
    <w:p>
      <w:pPr>
        <w:pStyle w:val="Heading3Text1"/>
        <w:rPr/>
      </w:pPr>
      <w:r>
        <w:rPr/>
        <w:t>But even if the MOU succeeds, investors will most certainly remember what almost happened.  They will remember the months during which SCE’s pleas and proposals were ignored.  They will remember that California policymakers forgot about balancing the interests of investors and customers and only focused on short-term, politically expedient solutions.  Only when California regulators and political leaders demonstrate repeated and prolonged actions to restore the balance of investor and customer interests, will investors become confident that they can again safely invest in California utilities.  Investors’ confidence will not return quickly.</w:t>
      </w:r>
    </w:p>
    <w:p>
      <w:pPr>
        <w:pStyle w:val="Heading3Text1"/>
        <w:rPr/>
      </w:pPr>
      <w:r>
        <w:rPr/>
        <w:t xml:space="preserve">An 11.6% return for URG is critical in signaling to investors that SCE will be treated fairly going forward.  SCE will invest at least $3 billion in its regulated business through 2006 if, as the MOU envisions, SCE has been returned to creditworthy status. In order for SCE to raise capital from investors, or generate equity capital internally, to make these investments, there must be a commitment from the CPUC to reassure investors that they will receive a reasonable return on their investment.  Bondholders as well as equity holders have been stung by the deterioration in SCE’s financial condition and will require a clear signal of support for the utility’s financial integrity before providing funds at a reasonable cost.  Decreasing SCE’s ROE below 11.6% for any part of SCE’s utility operations would send the wrong signal to investors. </w:t>
      </w:r>
    </w:p>
    <w:p>
      <w:pPr>
        <w:pStyle w:val="Heading3"/>
        <w:numPr>
          <w:ilvl w:val="2"/>
          <w:numId w:val="2"/>
        </w:numPr>
        <w:ind w:hanging="0" w:start="0"/>
        <w:rPr/>
      </w:pPr>
      <w:bookmarkStart w:id="57" w:name="__RefHeading___Toc517698432"/>
      <w:bookmarkEnd w:id="57"/>
      <w:r>
        <w:rPr/>
        <w:t>The Restoration of Standard Depreciation Lives Removes The Reason For A Reduced Rate Of Return</w:t>
      </w:r>
    </w:p>
    <w:p>
      <w:pPr>
        <w:pStyle w:val="Heading3Text1"/>
        <w:rPr>
          <w:b/>
        </w:rPr>
      </w:pPr>
      <w:r>
        <w:rPr/>
        <w:t>ORA commented that an 11.6% ROE is higher than the sunk cost return specified in D.95-12-063 to be in effect for the transition period, which according to ORA, has not yet ended.</w:t>
      </w:r>
      <w:r>
        <w:rPr>
          <w:rStyle w:val="FootnoteCharacters"/>
          <w:rStyle w:val="FootnoteReference"/>
        </w:rPr>
        <w:footnoteReference w:id="51"/>
      </w:r>
      <w:r>
        <w:rPr/>
        <w:t xml:space="preserve">  Whether or not the transition period has ended, the reduced ROE for non-nuclear generation during the transition period was predicated on accelerated recovery of investment in these plants.</w:t>
      </w:r>
      <w:r>
        <w:rPr>
          <w:rStyle w:val="FootnoteCharacters"/>
          <w:rStyle w:val="FootnoteReference"/>
        </w:rPr>
        <w:footnoteReference w:id="52"/>
      </w:r>
      <w:r>
        <w:rPr/>
        <w:t xml:space="preserve">  The Joint Ruling ends accelerated depreciation for URG and restores traditional depreciation lives.</w:t>
      </w:r>
      <w:r>
        <w:rPr>
          <w:rStyle w:val="FootnoteCharacters"/>
          <w:rStyle w:val="FootnoteReference"/>
        </w:rPr>
        <w:footnoteReference w:id="53"/>
      </w:r>
      <w:r>
        <w:rPr/>
        <w:t xml:space="preserve">  SCE has embodied this decision by setting depreciation and amortization schedules based on the expected ratemaking remaining life of each plant, as discussed in Chapter III.  Using traditional methods for calculating depreciation removes the Commission’s basis for the reduced return on common equity and makes a full return on equity appropriate.  </w:t>
      </w:r>
    </w:p>
    <w:p>
      <w:pPr>
        <w:pStyle w:val="Heading3"/>
        <w:numPr>
          <w:ilvl w:val="2"/>
          <w:numId w:val="2"/>
        </w:numPr>
        <w:ind w:hanging="0" w:start="0"/>
        <w:rPr/>
      </w:pPr>
      <w:bookmarkStart w:id="58" w:name="__RefHeading___Toc517698433"/>
      <w:bookmarkEnd w:id="58"/>
      <w:r>
        <w:rPr/>
        <w:t>The Use Of Balancing Accounts Does Not Warrant A Reduced Rate Of Return</w:t>
      </w:r>
    </w:p>
    <w:p>
      <w:pPr>
        <w:pStyle w:val="Heading3Text1"/>
        <w:ind w:end="-180"/>
        <w:rPr/>
      </w:pPr>
      <w:r>
        <w:rPr/>
        <w:t>In its Comments on the Joint Ruling, TURN argued that if all costs are recovered through balancing accounts, then the authorized return on equity should be reduced.</w:t>
      </w:r>
      <w:r>
        <w:rPr>
          <w:rStyle w:val="FootnoteCharacters"/>
          <w:rStyle w:val="FootnoteReference"/>
        </w:rPr>
        <w:footnoteReference w:id="54"/>
      </w:r>
      <w:r>
        <w:rPr/>
        <w:t xml:space="preserve">  TURN’s position is based on a serious misunderstanding of SCE’s proposal.  TURN implies that all operating costs will be recorded in a balancing account and actual costs will be recovered.  This is not the case for URG operating expenses.  When rates from the 2003 GRC become effective, authorized O&amp;M and A&amp;G expenses would be based on a forecast methodology.</w:t>
      </w:r>
      <w:r>
        <w:rPr>
          <w:rStyle w:val="FootnoteCharacters"/>
          <w:rStyle w:val="FootnoteReference"/>
        </w:rPr>
        <w:footnoteReference w:id="55"/>
      </w:r>
      <w:r>
        <w:rPr/>
        <w:t xml:space="preserve">  Therefore, starting January 1, 2003, SCE will be fully at risk for cost performance relative to authorized expenses.  </w:t>
      </w:r>
    </w:p>
    <w:p>
      <w:pPr>
        <w:pStyle w:val="Heading2"/>
        <w:numPr>
          <w:ilvl w:val="1"/>
          <w:numId w:val="2"/>
        </w:numPr>
        <w:ind w:hanging="0" w:start="0"/>
        <w:rPr/>
      </w:pPr>
      <w:bookmarkStart w:id="59" w:name="__RefHeading___Toc517698434"/>
      <w:bookmarkEnd w:id="59"/>
      <w:r>
        <w:rPr/>
        <w:t>SCE Does Not Include In Ratebase Any Extraneous Capital Additions</w:t>
      </w:r>
    </w:p>
    <w:p>
      <w:pPr>
        <w:pStyle w:val="Heading2Text"/>
        <w:rPr/>
      </w:pPr>
      <w:r>
        <w:rPr/>
        <w:t>In its Comments on the Joint Ruling of April 27, 2001, TURN opposed including the 1997/1998 capital additions that are still pending Commission approval in URG rate base to calculate a revenue requirement based on “cost-of-service”.  Currently, the return and taxes on the capital additions pending approval in the 1997/1998 Capital Additions Proceeding (A. 99-04-024) are tracked in the Non-Nuclear Generation Capital Additions Memorandum Account (NGCAMA), including the $36 million of capital additions for oil/gas plants that have been divested.</w:t>
      </w:r>
      <w:r>
        <w:rPr>
          <w:rStyle w:val="FootnoteCharacters"/>
          <w:rStyle w:val="FootnoteReference"/>
        </w:rPr>
        <w:footnoteReference w:id="56"/>
      </w:r>
      <w:r>
        <w:rPr/>
        <w:t xml:space="preserve">  SCE will not include any capital additions related to divested plant in its URG rate base.  SCE’s URG revenue requirements presented in the CPA workshop and Advice 1534-E-A included only the amounts for SCE’s nuclear, coal and hydro plants.  There were no revenue requirements included for divested oil/gas plants.  SCE does believe, though, that it should be allowed to recover the return and taxes recorded in the NGCAMA for those capital additions related to divested plants that the Commission does subsequently approve.  This can be accomplished through the URG Cost Recovery Model envisioned by the Joint Ruling or some other mechanism.</w:t>
      </w:r>
    </w:p>
    <w:p>
      <w:pPr>
        <w:pStyle w:val="Heading2Text"/>
        <w:rPr/>
      </w:pPr>
      <w:r>
        <w:rPr/>
        <w:t>The MOU does include in the URG rate base the $47 million of hydro and coal capital additions that are pending approval in the 1997/1998 Capital Additions Proceeding as well as those capital additions pending approval in the current ATCP Proceeding (A.00-09-013) and subsequent ATCP Proceedings.</w:t>
      </w:r>
      <w:r>
        <w:rPr>
          <w:rStyle w:val="FootnoteCharacters"/>
          <w:rStyle w:val="FootnoteReference"/>
        </w:rPr>
        <w:footnoteReference w:id="57"/>
      </w:r>
      <w:r>
        <w:rPr/>
        <w:t xml:space="preserve">  The MOU provides that this is a temporary situation until there is final approval or disapproval of such additions.  If portions of these capital additions are disallowed, SCE will make adjustment to the relevant balancing account (e.g., the URGBA proposed by SCE in Advice 1534-E-A).  Although SCE believes it is not necessary, SCE does not oppose ORA’s suggestion to create a memorandum account to track the depreciation, return and taxes associated with capital additions pending approval.</w:t>
      </w:r>
    </w:p>
    <w:p>
      <w:pPr>
        <w:pStyle w:val="Heading2Text"/>
        <w:rPr/>
      </w:pPr>
      <w:r>
        <w:rPr>
          <w:rFonts w:cs="Century Schoolbook" w:ascii="Century Schoolbook" w:hAnsi="Century Schoolbook"/>
          <w:color w:val="000000"/>
        </w:rPr>
        <w:t>The Commission established a new standard of capital additions reasonableness based on requirements in AB 1890, at Public Utilities Code Section 367 that SCE could recover as stranded costs only those capital additions "necessary to maintain" its generating facilities through December 31, 2001.  This Commission standard provided for recovery of only those capital additions, closed to plant after April 1, 1998, which could be recovered through market prices from a transparently priced market for electricity (see D.97-09-048).  In January 2001, state law ABX1-6 amended section 377 of the Public Utilities Code, which now states "Notwithstanding any other provision of law, no facility for the generation of electricity owned by a public utility may be disposed of prior to January 1, 2006."  Since there is not now a transparently priced market for electricity, and since the utilities are required to retain their generation facilities through at least January 1, 2006,</w:t>
      </w:r>
      <w:r>
        <w:rPr>
          <w:rStyle w:val="FootnoteCharacters"/>
          <w:rStyle w:val="FootnoteReference"/>
          <w:rFonts w:cs="Century Schoolbook" w:ascii="Century Schoolbook" w:hAnsi="Century Schoolbook"/>
        </w:rPr>
        <w:footnoteReference w:id="58"/>
      </w:r>
      <w:r>
        <w:rPr>
          <w:rFonts w:cs="Century Schoolbook" w:ascii="Century Schoolbook" w:hAnsi="Century Schoolbook"/>
          <w:color w:val="000000"/>
        </w:rPr>
        <w:t xml:space="preserve"> the Commission should review of capital additions through the utilities' General Rate Cases (GRCs) using the same standard used in previous GRCs.</w:t>
      </w:r>
    </w:p>
    <w:p>
      <w:pPr>
        <w:pStyle w:val="Heading1Text"/>
        <w:rPr>
          <w:rFonts w:ascii="Century Schoolbook" w:hAnsi="Century Schoolbook" w:cs="Century Schoolbook"/>
          <w:color w:val="000000"/>
        </w:rPr>
      </w:pPr>
      <w:r>
        <w:rPr>
          <w:rFonts w:cs="Century Schoolbook" w:ascii="Century Schoolbook" w:hAnsi="Century Schoolbook"/>
          <w:color w:val="000000"/>
        </w:rPr>
      </w:r>
    </w:p>
    <w:sectPr>
      <w:headerReference w:type="default" r:id="rId16"/>
      <w:headerReference w:type="first" r:id="rId17"/>
      <w:footerReference w:type="default" r:id="rId18"/>
      <w:footerReference w:type="first" r:id="rId19"/>
      <w:footnotePr>
        <w:numFmt w:val="decimal"/>
      </w:footnotePr>
      <w:type w:val="nextPage"/>
      <w:pgSz w:w="12240" w:h="15840"/>
      <w:pgMar w:left="1800" w:right="1080" w:gutter="0" w:header="432" w:top="994" w:footer="576" w:bottom="1710"/>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entury Schoolbook">
    <w:charset w:val="00" w:characterSet="windows-1252"/>
    <w:family w:val="roman"/>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6_20_01_sce_13.doc</w:t>
    </w:r>
    <w:r>
      <w:rPr/>
      <w:fldChar w:fldCharType="end"/>
    </w:r>
    <w:r>
      <w:rPr/>
      <w:tab/>
    </w:r>
    <w:r>
      <w:rPr>
        <w:sz w:val="20"/>
      </w:rPr>
      <w:t>-</w:t>
    </w:r>
    <w:r>
      <w:rPr>
        <w:rStyle w:val="PageNumber"/>
        <w:sz w:val="20"/>
      </w:rPr>
      <w:t>-</w:t>
      <w:tab/>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7937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7937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25pt;height:9.2pt;mso-wrap-distance-left:0pt;mso-wrap-distance-right:0pt;mso-wrap-distance-top:0pt;mso-wrap-distance-bottom:0pt;margin-top:0.05pt;mso-position-vertical-relative:text;margin-left:248.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6_20_01_sce_13.doc</w:t>
    </w:r>
    <w:r>
      <w:rPr/>
      <w:fldChar w:fldCharType="end"/>
    </w:r>
    <w:r>
      <w:rPr/>
      <w:tab/>
    </w:r>
    <w:r>
      <w:rP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w:t>
    </w:r>
    <w:r>
      <w:rPr>
        <w:rStyle w:val="PageNumber"/>
        <w:sz w:val="20"/>
      </w:rPr>
      <w:fldChar w:fldCharType="end"/>
    </w:r>
    <w:r>
      <w:rPr>
        <w:rStyle w:val="PageNumber"/>
        <w:sz w:val="20"/>
      </w:rPr>
      <w:t>-</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6_20_01_sce_13.doc</w:t>
    </w:r>
    <w:r>
      <w:rPr/>
      <w:fldChar w:fldCharType="end"/>
    </w:r>
    <w:r>
      <w:rPr/>
      <w:tab/>
    </w:r>
    <w:r>
      <w:rPr>
        <w:sz w:val="20"/>
      </w:rPr>
      <w:t>-</w:t>
    </w:r>
    <w:r>
      <w:rPr>
        <w:rStyle w:val="PageNumber"/>
        <w:sz w:val="20"/>
      </w:rPr>
      <w:t>-</w:t>
      <w:tab/>
    </w:r>
    <w:r>
      <mc:AlternateContent>
        <mc:Choice Requires="wps">
          <w:drawing>
            <wp:anchor behindDoc="0" distT="0" distB="0" distL="0" distR="0" simplePos="0" locked="0" layoutInCell="0" allowOverlap="1" relativeHeight="116">
              <wp:simplePos x="0" y="0"/>
              <wp:positionH relativeFrom="margin">
                <wp:align>center</wp:align>
              </wp:positionH>
              <wp:positionV relativeFrom="paragraph">
                <wp:posOffset>635</wp:posOffset>
              </wp:positionV>
              <wp:extent cx="102235" cy="116840"/>
              <wp:effectExtent l="0" t="0" r="0" b="0"/>
              <wp:wrapSquare wrapText="bothSides"/>
              <wp:docPr id="13" name="Frame3"/>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23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0" w:after="120"/>
        <w:ind w:hanging="360" w:start="360" w:end="0"/>
        <w:rPr/>
      </w:pPr>
      <w:r>
        <w:rPr>
          <w:rStyle w:val="FootnoteCharacters"/>
        </w:rPr>
        <w:footnoteRef/>
      </w:r>
      <w:r>
        <w:rPr/>
        <w:tab/>
      </w:r>
      <w:r>
        <w:rPr>
          <w:u w:val="single"/>
        </w:rPr>
        <w:t>See</w:t>
      </w:r>
      <w:r>
        <w:rPr/>
        <w:t xml:space="preserve"> D. 01-01-061, Ordering Paragraph 11.</w:t>
      </w:r>
    </w:p>
  </w:footnote>
  <w:footnote w:id="3">
    <w:p>
      <w:pPr>
        <w:pStyle w:val="FootnoteText"/>
        <w:spacing w:lineRule="atLeast" w:line="240" w:before="0" w:after="120"/>
        <w:ind w:hanging="360" w:start="360" w:end="0"/>
        <w:rPr/>
      </w:pPr>
      <w:r>
        <w:rPr>
          <w:rStyle w:val="FootnoteCharacters"/>
        </w:rPr>
        <w:footnoteRef/>
      </w:r>
      <w:r>
        <w:rPr/>
        <w:tab/>
        <w:t>AL 1521-E, p. 1.</w:t>
      </w:r>
    </w:p>
  </w:footnote>
  <w:footnote w:id="4">
    <w:p>
      <w:pPr>
        <w:pStyle w:val="FootnoteText"/>
        <w:spacing w:lineRule="atLeast" w:line="240" w:before="0" w:after="120"/>
        <w:ind w:hanging="360" w:start="360" w:end="0"/>
        <w:rPr/>
      </w:pPr>
      <w:r>
        <w:rPr>
          <w:rStyle w:val="FootnoteCharacters"/>
        </w:rPr>
        <w:footnoteRef/>
      </w:r>
      <w:r>
        <w:rPr/>
        <w:tab/>
      </w:r>
      <w:r>
        <w:rPr>
          <w:u w:val="single"/>
        </w:rPr>
        <w:t>See</w:t>
      </w:r>
      <w:r>
        <w:rPr/>
        <w:t xml:space="preserve"> D. 01-01-018.  </w:t>
      </w:r>
    </w:p>
  </w:footnote>
  <w:footnote w:id="5">
    <w:p>
      <w:pPr>
        <w:pStyle w:val="FootnoteText"/>
        <w:spacing w:lineRule="atLeast" w:line="240" w:before="0" w:after="120"/>
        <w:ind w:hanging="360" w:start="360" w:end="0"/>
        <w:rPr/>
      </w:pPr>
      <w:r>
        <w:rPr>
          <w:rStyle w:val="FootnoteCharacters"/>
        </w:rPr>
        <w:footnoteRef/>
      </w:r>
      <w:r>
        <w:rPr/>
        <w:tab/>
        <w:t>SCE filed Advice 1534-E-A as a supplement to Advice 1534-E in order to be consistent with the URG guidelines included in the MOU.  Advice 1534-E-A replaces Advice 1534-E in its entirety.</w:t>
      </w:r>
    </w:p>
  </w:footnote>
  <w:footnote w:id="6">
    <w:p>
      <w:pPr>
        <w:pStyle w:val="FootnoteText"/>
        <w:spacing w:lineRule="atLeast" w:line="240" w:before="0" w:after="120"/>
        <w:ind w:hanging="360" w:start="360" w:end="0"/>
        <w:rPr/>
      </w:pPr>
      <w:r>
        <w:rPr>
          <w:rStyle w:val="FootnoteCharacters"/>
        </w:rPr>
        <w:footnoteRef/>
      </w:r>
      <w:r>
        <w:rPr/>
        <w:tab/>
        <w:t>ORA “Protest of Southern California Edison Company (“SCE”) Advice Letter (“AL”) 1534-E-E Establishing Four New Balancing Accounts and Other Tariff Revisions, dated May 17, 2001 (“ORA Protest.”)</w:t>
      </w:r>
    </w:p>
  </w:footnote>
  <w:footnote w:id="7">
    <w:p>
      <w:pPr>
        <w:pStyle w:val="FootnoteText"/>
        <w:spacing w:lineRule="atLeast" w:line="240" w:before="0" w:after="120"/>
        <w:ind w:hanging="360" w:start="360" w:end="0"/>
        <w:rPr/>
      </w:pPr>
      <w:r>
        <w:rPr>
          <w:rStyle w:val="FootnoteCharacters"/>
        </w:rPr>
        <w:footnoteRef/>
      </w:r>
      <w:r>
        <w:rPr/>
        <w:tab/>
        <w:t>Ruling, p. 1.</w:t>
      </w:r>
    </w:p>
  </w:footnote>
  <w:footnote w:id="8">
    <w:p>
      <w:pPr>
        <w:pStyle w:val="FootnoteText"/>
        <w:spacing w:lineRule="atLeast" w:line="240" w:before="0" w:after="120"/>
        <w:ind w:hanging="360" w:start="360" w:end="0"/>
        <w:rPr/>
      </w:pPr>
      <w:r>
        <w:rPr>
          <w:rStyle w:val="FootnoteCharacters"/>
        </w:rPr>
        <w:footnoteRef/>
      </w:r>
      <w:r>
        <w:rPr/>
        <w:tab/>
        <w:t>Ruling, pp. 5 – 6.</w:t>
      </w:r>
    </w:p>
  </w:footnote>
  <w:footnote w:id="9">
    <w:p>
      <w:pPr>
        <w:pStyle w:val="FootnoteText"/>
        <w:spacing w:lineRule="atLeast" w:line="240" w:before="0" w:after="120"/>
        <w:ind w:hanging="360" w:start="360" w:end="0"/>
        <w:rPr/>
      </w:pPr>
      <w:r>
        <w:rPr>
          <w:rStyle w:val="FootnoteCharacters"/>
        </w:rPr>
        <w:footnoteRef/>
      </w:r>
      <w:r>
        <w:rPr/>
        <w:t xml:space="preserve"> </w:t>
      </w:r>
      <w:r>
        <w:rPr/>
        <w:tab/>
        <w:t>Transition costs net of any applicable market revenues from the sales of SCE’s generation into the PX are recorded within several subaccounts of the TCBA:  (1) QF Subaccount; (2) Interutility Contracts Subaccount; (3) SONGS 2&amp;3 Sunk Costs Subaccount; (4) SONGS 2&amp;3 Incremental Cost Incentive Pricing (ICIP) Subaccount; (5) Palo Verde Incremental Costs Subaccount; (6) Palo Verde Sunk Costs Subaccount; (7) Fossil Sunk Costs Subaccount; (8) Fossil Generation Subaccount; (9) Regulatory Assets Subaccount; (10) Hydro Sunk Costs Subaccount; (11) Biennial Resource Plan Update (BRPU) Settlement Subaccount; and (12) Employee-Related Costs Subaccount.</w:t>
      </w:r>
    </w:p>
  </w:footnote>
  <w:footnote w:id="10">
    <w:p>
      <w:pPr>
        <w:pStyle w:val="FootnoteText"/>
        <w:spacing w:lineRule="atLeast" w:line="240" w:before="0" w:after="120"/>
        <w:ind w:hanging="360" w:start="360" w:end="0"/>
        <w:rPr/>
      </w:pPr>
      <w:r>
        <w:rPr>
          <w:rStyle w:val="FootnoteCharacters"/>
        </w:rPr>
        <w:footnoteRef/>
      </w:r>
      <w:r>
        <w:rPr/>
        <w:t xml:space="preserve"> </w:t>
      </w:r>
      <w:r>
        <w:rPr/>
        <w:tab/>
        <w:t>Other CTC-related revenues include such items as:  (1) Imputed revenues associated with the 10% rate reduction for SCE’s Residential and Small Commercial Customers; (2) Trust Transfer Amount (TTA) revenues associated with SCE’s issuance of Rate Reduction Bonds (RRBs); and (3) authorized generation-related Other Operating Revenues (OOR).</w:t>
      </w:r>
    </w:p>
  </w:footnote>
  <w:footnote w:id="11">
    <w:p>
      <w:pPr>
        <w:pStyle w:val="FootnoteText"/>
        <w:spacing w:lineRule="atLeast" w:line="240" w:before="0" w:after="120"/>
        <w:ind w:hanging="360" w:start="360" w:end="0"/>
        <w:rPr/>
      </w:pPr>
      <w:r>
        <w:rPr>
          <w:rStyle w:val="FootnoteCharacters"/>
        </w:rPr>
        <w:footnoteRef/>
      </w:r>
      <w:r>
        <w:rPr/>
        <w:tab/>
        <w:t>SCE currently estimates a 2002 past undercollection revenue requirement of approximately $500 million.  This revenue requirement is based on a $3.9 net undercollected amount amortized over 12 years at 7.5% interest.</w:t>
      </w:r>
    </w:p>
  </w:footnote>
  <w:footnote w:id="12">
    <w:p>
      <w:pPr>
        <w:pStyle w:val="FootnoteText"/>
        <w:spacing w:lineRule="atLeast" w:line="240" w:before="0" w:after="120"/>
        <w:ind w:hanging="360" w:start="360" w:end="0"/>
        <w:rPr/>
      </w:pPr>
      <w:r>
        <w:rPr>
          <w:rStyle w:val="FootnoteCharacters"/>
        </w:rPr>
        <w:footnoteRef/>
      </w:r>
      <w:r>
        <w:rPr/>
        <w:t xml:space="preserve"> </w:t>
      </w:r>
      <w:r>
        <w:rPr/>
        <w:tab/>
        <w:t>Generation-related operating expenses currently approved by the Commission include: 1) fuel and fuel carrying costs; 2) emission credit costs; 3) direct O&amp;M and A&amp;G; 4) Customer Service and Information; 5) indirect A&amp;G; 6) taxes; 7) scheduling and dispatch costs; 8) contract administration; and 9) congestion costs.  In addition, the Commission has also approved generation-related other operating revenue.</w:t>
      </w:r>
    </w:p>
  </w:footnote>
  <w:footnote w:id="13">
    <w:p>
      <w:pPr>
        <w:pStyle w:val="FootnoteText"/>
        <w:spacing w:lineRule="atLeast" w:line="240" w:before="0" w:after="120"/>
        <w:ind w:hanging="360" w:start="360" w:end="0"/>
        <w:rPr/>
      </w:pPr>
      <w:r>
        <w:rPr>
          <w:rStyle w:val="FootnoteCharacters"/>
        </w:rPr>
        <w:footnoteRef/>
      </w:r>
      <w:r>
        <w:rPr/>
        <w:t xml:space="preserve"> </w:t>
      </w:r>
      <w:r>
        <w:rPr/>
        <w:tab/>
        <w:t xml:space="preserve">On May 4, 2001 SCE filed its Motion to Establish a Framework and Criteria for Its Power Procurement Practices with the Commission.   SCE indicated in that motion that a Procurement Plan should be approved and in place by January 1, 2002.  Such a plan would allow SCE to purchase products to serve SCE’s customers net short position as of January 1, 2003, contingent upon SCE regaining investment grade credit.  Upon Commission approval of a Procurement Plan, SCE will incur and therefore record into the PCBA, certain charges including but not limited to credit and collateral costs, brokerage costs, and capacity and energy payments.  Because of the many associated uncertainties it is not possible at this time to forecast the magnitude of such costs.       </w:t>
      </w:r>
    </w:p>
  </w:footnote>
  <w:footnote w:id="14">
    <w:p>
      <w:pPr>
        <w:pStyle w:val="FootnoteText"/>
        <w:spacing w:lineRule="atLeast" w:line="240" w:before="0" w:after="120"/>
        <w:ind w:hanging="360" w:start="360" w:end="0"/>
        <w:rPr/>
      </w:pPr>
      <w:r>
        <w:rPr>
          <w:rStyle w:val="FootnoteCharacters"/>
        </w:rPr>
        <w:footnoteRef/>
      </w:r>
      <w:r>
        <w:rPr/>
        <w:tab/>
        <w:t xml:space="preserve">The FERC addressed creditworthiness issues in the following decisions:  </w:t>
      </w:r>
      <w:r>
        <w:rPr>
          <w:i/>
        </w:rPr>
        <w:t>Cal. Indep. Sys. Operator Corp., Order Addressing Creditworthiness Tariff Provisions Proposed By The California Independent System Operator And California Power Exchange,</w:t>
      </w:r>
      <w:r>
        <w:rPr/>
        <w:t xml:space="preserve"> 94 FERC ¶61,132 (February 14, 2001) (“February 14</w:t>
      </w:r>
      <w:r>
        <w:rPr>
          <w:vertAlign w:val="superscript"/>
        </w:rPr>
        <w:t>th</w:t>
      </w:r>
      <w:r>
        <w:rPr/>
        <w:t xml:space="preserve"> Order) (citations to mimeo).  </w:t>
      </w:r>
      <w:r>
        <w:rPr>
          <w:i/>
        </w:rPr>
        <w:t>Cal. Indep. Sys. Operator Corp., Order Granting Motion,</w:t>
      </w:r>
      <w:r>
        <w:rPr/>
        <w:t xml:space="preserve"> 95 FERC ¶61,074 (April 6, 2001) (“April 6</w:t>
      </w:r>
      <w:r>
        <w:rPr>
          <w:vertAlign w:val="superscript"/>
        </w:rPr>
        <w:t>th</w:t>
      </w:r>
      <w:r>
        <w:rPr/>
        <w:t xml:space="preserve"> Order”) (citations to mimeo).  The April 6</w:t>
      </w:r>
      <w:r>
        <w:rPr>
          <w:vertAlign w:val="superscript"/>
        </w:rPr>
        <w:t>th</w:t>
      </w:r>
      <w:r>
        <w:rPr/>
        <w:t xml:space="preserve"> Order was issued by the Commission in response to a Request For Emergency Order To Compel The California Independent System Operator Corporation To Comply With The Commission’s February 14, 2001 Order filed by a group of generators.  The Commission has now issued a THIRD order reaffirming that the February 14</w:t>
      </w:r>
      <w:r>
        <w:rPr>
          <w:vertAlign w:val="superscript"/>
        </w:rPr>
        <w:t>th</w:t>
      </w:r>
      <w:r>
        <w:rPr/>
        <w:t xml:space="preserve"> Order and the April 6</w:t>
      </w:r>
      <w:r>
        <w:rPr>
          <w:vertAlign w:val="superscript"/>
        </w:rPr>
        <w:t>th</w:t>
      </w:r>
      <w:r>
        <w:rPr/>
        <w:t xml:space="preserve"> Order “cover </w:t>
      </w:r>
      <w:r>
        <w:rPr>
          <w:u w:val="single"/>
        </w:rPr>
        <w:t>all</w:t>
      </w:r>
      <w:r>
        <w:rPr/>
        <w:t xml:space="preserve"> transactions through the ISO.”  </w:t>
      </w:r>
      <w:r>
        <w:rPr>
          <w:i/>
        </w:rPr>
        <w:t xml:space="preserve">Order Providing Clarification And Preliminary Guidance On Implementation Of Mitigation And Monitoring Plan For The California Wholesale Electric Markets, </w:t>
      </w:r>
      <w:r>
        <w:rPr/>
        <w:t>95 FERC ¶61,275 (May 25, 2001) at p. 6 (citations to mimeo).</w:t>
      </w:r>
    </w:p>
  </w:footnote>
  <w:footnote w:id="15">
    <w:p>
      <w:pPr>
        <w:pStyle w:val="FootnoteText"/>
        <w:spacing w:lineRule="atLeast" w:line="240" w:before="0" w:after="120"/>
        <w:ind w:hanging="360" w:start="360" w:end="0"/>
        <w:rPr/>
      </w:pPr>
      <w:r>
        <w:rPr>
          <w:rStyle w:val="FootnoteCharacters"/>
        </w:rPr>
        <w:footnoteRef/>
      </w:r>
      <w:r>
        <w:rPr/>
        <w:t xml:space="preserve"> </w:t>
      </w:r>
      <w:r>
        <w:rPr/>
        <w:tab/>
        <w:t>SCE’s “May 2001” sales forecast will be used by SCE in determining its 2003 GRC rate change and will therefore be presented to the Commission on August 15, 2001 when SCE submits its 2003 GRC Notice of Intent.  Although a sales forecast is necessary here to determine the generation-related dedicated rate components, because SCE’s ratemaking proposal is based on the use of balancing accounts, the sales forecast should not be controversial.  SCE will ultimately recover neither more nor less than its recorded revenue requirements, whether based on actual or authorized amounts.</w:t>
      </w:r>
    </w:p>
  </w:footnote>
  <w:footnote w:id="16">
    <w:p>
      <w:pPr>
        <w:pStyle w:val="FootnoteText"/>
        <w:spacing w:lineRule="atLeast" w:line="240" w:before="0" w:after="120"/>
        <w:ind w:hanging="360" w:start="360" w:end="0"/>
        <w:rPr/>
      </w:pPr>
      <w:r>
        <w:rPr>
          <w:rStyle w:val="FootnoteCharacters"/>
        </w:rPr>
        <w:footnoteRef/>
      </w:r>
      <w:r>
        <w:rPr/>
        <w:t xml:space="preserve"> </w:t>
      </w:r>
      <w:r>
        <w:rPr/>
        <w:tab/>
        <w:t>As explained above, all payments that SCE makes to DWR (either under the current interim method or based on DWR’s revenue requirement provided to the Commission) are considered to be costs in the operation of the PCBA.</w:t>
      </w:r>
    </w:p>
  </w:footnote>
  <w:footnote w:id="17">
    <w:p>
      <w:pPr>
        <w:pStyle w:val="FootnoteText"/>
        <w:spacing w:lineRule="atLeast" w:line="240" w:before="0" w:after="120"/>
        <w:ind w:hanging="360" w:start="360" w:end="0"/>
        <w:rPr/>
      </w:pPr>
      <w:r>
        <w:rPr>
          <w:rStyle w:val="FootnoteCharacters"/>
        </w:rPr>
        <w:footnoteRef/>
      </w:r>
      <w:r>
        <w:rPr/>
        <w:t xml:space="preserve"> </w:t>
      </w:r>
      <w:r>
        <w:rPr/>
        <w:tab/>
        <w:t>This can been seen in Table II-6, because the sum of the generation-related dedicated rate components to be recorded in the SCECBA, PCBA, and the ISOBA is greater than 4 cents/kWh.</w:t>
      </w:r>
    </w:p>
  </w:footnote>
  <w:footnote w:id="18">
    <w:p>
      <w:pPr>
        <w:pStyle w:val="FootnoteText"/>
        <w:spacing w:lineRule="atLeast" w:line="240" w:before="0" w:after="120"/>
        <w:ind w:hanging="360" w:start="360" w:end="0"/>
        <w:rPr/>
      </w:pPr>
      <w:r>
        <w:rPr>
          <w:rStyle w:val="FootnoteCharacters"/>
        </w:rPr>
        <w:footnoteRef/>
      </w:r>
      <w:r>
        <w:rPr/>
        <w:t xml:space="preserve"> </w:t>
      </w:r>
      <w:r>
        <w:rPr/>
        <w:tab/>
        <w:t>The Commission declared in D.01-03-082 that the AB 1890 rate freeze is still in effect.</w:t>
      </w:r>
    </w:p>
  </w:footnote>
  <w:footnote w:id="19">
    <w:p>
      <w:pPr>
        <w:pStyle w:val="FootnoteText"/>
        <w:spacing w:lineRule="atLeast" w:line="240" w:before="0" w:after="120"/>
        <w:ind w:hanging="360" w:start="360" w:end="0"/>
        <w:rPr/>
      </w:pPr>
      <w:r>
        <w:rPr>
          <w:rStyle w:val="FootnoteCharacters"/>
        </w:rPr>
        <w:footnoteRef/>
      </w:r>
      <w:r>
        <w:rPr/>
        <w:t xml:space="preserve"> </w:t>
      </w:r>
      <w:r>
        <w:rPr/>
        <w:tab/>
        <w:t>The generation-related dedicated rates set forth above reflect estimated average annual rates.  On a monthly basis, the realized generation rates will be different due to Commission authorized seasonal (winter and summer) rate differences.</w:t>
      </w:r>
    </w:p>
  </w:footnote>
  <w:footnote w:id="20">
    <w:p>
      <w:pPr>
        <w:pStyle w:val="FootnoteText"/>
        <w:spacing w:lineRule="atLeast" w:line="240" w:before="0" w:after="120"/>
        <w:ind w:hanging="360" w:start="360" w:end="0"/>
        <w:rPr/>
      </w:pPr>
      <w:r>
        <w:rPr>
          <w:rStyle w:val="FootnoteCharacters"/>
        </w:rPr>
        <w:footnoteRef/>
      </w:r>
      <w:r>
        <w:rPr/>
        <w:t xml:space="preserve"> </w:t>
      </w:r>
      <w:r>
        <w:rPr/>
        <w:tab/>
        <w:t xml:space="preserve">SCE notes that in its protest of SCE’s Advice 1534-E-A, ORA questions the ability of SCE to make major rate changes through an advice letter.  As SCE stated in its response to ORA’s protest, SCE is willing to work with ORA in coming to an agreeable resolution of ORA’s concerns.  </w:t>
      </w:r>
    </w:p>
  </w:footnote>
  <w:footnote w:id="21">
    <w:p>
      <w:pPr>
        <w:pStyle w:val="FootnoteText"/>
        <w:spacing w:lineRule="atLeast" w:line="240" w:before="0" w:after="120"/>
        <w:ind w:hanging="360" w:start="360" w:end="0"/>
        <w:rPr/>
      </w:pPr>
      <w:r>
        <w:rPr>
          <w:rStyle w:val="FootnoteCharacters"/>
        </w:rPr>
        <w:footnoteRef/>
      </w:r>
      <w:r>
        <w:rPr/>
        <w:t xml:space="preserve"> </w:t>
      </w:r>
      <w:r>
        <w:rPr/>
        <w:tab/>
        <w:t>For example, if a rate change is triggered during August 2001 the net balances will not be reviewed again until December 31, 2001.</w:t>
      </w:r>
    </w:p>
  </w:footnote>
  <w:footnote w:id="22">
    <w:p>
      <w:pPr>
        <w:pStyle w:val="FootnoteText"/>
        <w:spacing w:lineRule="atLeast" w:line="240" w:before="0" w:after="120"/>
        <w:ind w:hanging="360" w:start="360" w:end="0"/>
        <w:rPr/>
      </w:pPr>
      <w:r>
        <w:rPr>
          <w:rStyle w:val="FootnoteCharacters"/>
        </w:rPr>
        <w:footnoteRef/>
      </w:r>
      <w:r>
        <w:rPr/>
        <w:t xml:space="preserve">  </w:t>
      </w:r>
      <w:r>
        <w:rPr/>
        <w:tab/>
        <w:t xml:space="preserve">See </w:t>
      </w:r>
      <w:r>
        <w:rPr>
          <w:i/>
        </w:rPr>
        <w:t>Motion of Southern California Edison Company (U 338-E) to Establish a Framework and Criteria for its Power Procurement Practices</w:t>
      </w:r>
      <w:r>
        <w:rPr/>
        <w:t>, filed in R.94-04-031/I.94-04-032, May 4, 2001.</w:t>
      </w:r>
    </w:p>
  </w:footnote>
  <w:footnote w:id="23">
    <w:p>
      <w:pPr>
        <w:pStyle w:val="FootnoteText"/>
        <w:spacing w:lineRule="atLeast" w:line="240" w:before="0" w:after="120"/>
        <w:ind w:hanging="360" w:start="360" w:end="0"/>
        <w:rPr/>
      </w:pPr>
      <w:r>
        <w:rPr>
          <w:rStyle w:val="FootnoteCharacters"/>
        </w:rPr>
        <w:footnoteRef/>
      </w:r>
      <w:r>
        <w:rPr/>
        <w:tab/>
        <w:t xml:space="preserve">The Commission should not conclude that establishing balancing accounts as SCE has proposed provides any basis for reducing SCE’s URG return on equity below 11.6%.  As the discussion elsewhere in this exhibit has noted, SCE’s authorized return on equity for 1996 and 1997 was 11.6%.  In earlier years, it was generally higher.  ECAC balancing accounts were in place during these years. </w:t>
      </w:r>
    </w:p>
  </w:footnote>
  <w:footnote w:id="24">
    <w:p>
      <w:pPr>
        <w:pStyle w:val="FootnoteText"/>
        <w:spacing w:lineRule="atLeast" w:line="240" w:before="0" w:after="120"/>
        <w:ind w:hanging="360" w:start="360" w:end="0"/>
        <w:rPr/>
      </w:pPr>
      <w:r>
        <w:rPr>
          <w:rStyle w:val="FootnoteCharacters"/>
        </w:rPr>
        <w:footnoteRef/>
      </w:r>
      <w:r>
        <w:rPr/>
        <w:t xml:space="preserve"> </w:t>
      </w:r>
      <w:r>
        <w:rPr/>
        <w:tab/>
        <w:t>Assuming no further contract liquidation.</w:t>
      </w:r>
    </w:p>
  </w:footnote>
  <w:footnote w:id="25">
    <w:p>
      <w:pPr>
        <w:pStyle w:val="FootnoteText"/>
        <w:spacing w:lineRule="atLeast" w:line="240" w:before="0" w:after="120"/>
        <w:ind w:hanging="360" w:start="360" w:end="0"/>
        <w:rPr/>
      </w:pPr>
      <w:r>
        <w:rPr>
          <w:rStyle w:val="FootnoteCharacters"/>
        </w:rPr>
        <w:footnoteRef/>
      </w:r>
      <w:r>
        <w:rPr/>
        <w:t xml:space="preserve"> </w:t>
      </w:r>
      <w:r>
        <w:rPr/>
        <w:tab/>
        <w:t>Assuming no further contract liquidation.</w:t>
      </w:r>
    </w:p>
  </w:footnote>
  <w:footnote w:id="26">
    <w:p>
      <w:pPr>
        <w:pStyle w:val="FootnoteText"/>
        <w:spacing w:lineRule="atLeast" w:line="240" w:before="0" w:after="120"/>
        <w:ind w:hanging="360" w:start="360" w:end="0"/>
        <w:rPr/>
      </w:pPr>
      <w:r>
        <w:rPr>
          <w:rStyle w:val="FootnoteCharacters"/>
        </w:rPr>
        <w:footnoteRef/>
      </w:r>
      <w:r>
        <w:rPr/>
        <w:t xml:space="preserve"> </w:t>
      </w:r>
      <w:r>
        <w:rPr/>
        <w:tab/>
        <w:t>For the period March 27, 2001 through June 2, 2001, SCE remitted 7.277 cents/kWh to DWR.  Beginning June 3, 2001, SCE began to bill customers the addition 3 cents/kWh or a total of 10.277 cents/kWh, plus a rate level of approximately 0.5¢/kWh to amortize the revenues authorized on March 27, 2001 but not reflected in customers’ bills until June 3, 2001 over the 12</w:t>
        <w:noBreakHyphen/>
        <w:t>month period of June, 2001 through May, 2002.</w:t>
      </w:r>
    </w:p>
  </w:footnote>
  <w:footnote w:id="27">
    <w:p>
      <w:pPr>
        <w:pStyle w:val="FootnoteText"/>
        <w:spacing w:lineRule="atLeast" w:line="240" w:before="0" w:after="120"/>
        <w:ind w:hanging="360" w:start="360" w:end="0"/>
        <w:rPr/>
      </w:pPr>
      <w:r>
        <w:rPr>
          <w:rStyle w:val="FootnoteCharacters"/>
        </w:rPr>
        <w:footnoteRef/>
      </w:r>
      <w:r>
        <w:rPr/>
        <w:t xml:space="preserve"> </w:t>
      </w:r>
      <w:r>
        <w:rPr/>
        <w:tab/>
        <w:t>Again, SCE notes that the provision of cost forecasts is done to facilitate the establishment of initial generation-related rates, but that actual costs and revenues will be recorded in SCE’s proposed balancing accounts.</w:t>
      </w:r>
    </w:p>
  </w:footnote>
  <w:footnote w:id="28">
    <w:p>
      <w:pPr>
        <w:pStyle w:val="FootnoteText"/>
        <w:spacing w:lineRule="atLeast" w:line="240" w:before="0" w:after="120"/>
        <w:ind w:hanging="360" w:start="360" w:end="0"/>
        <w:rPr/>
      </w:pPr>
      <w:r>
        <w:rPr>
          <w:rStyle w:val="FootnoteCharacters"/>
        </w:rPr>
        <w:footnoteRef/>
      </w:r>
      <w:r>
        <w:rPr/>
        <w:t xml:space="preserve"> </w:t>
      </w:r>
      <w:r>
        <w:rPr/>
        <w:tab/>
        <w:t>Load forecasts are provided at the ISO-grid level (i.e., before netting distribution line losses).</w:t>
      </w:r>
    </w:p>
  </w:footnote>
  <w:footnote w:id="29">
    <w:p>
      <w:pPr>
        <w:pStyle w:val="FootnoteText"/>
        <w:spacing w:lineRule="atLeast" w:line="240" w:before="0" w:after="120"/>
        <w:ind w:hanging="360" w:start="360" w:end="0"/>
        <w:rPr/>
      </w:pPr>
      <w:r>
        <w:rPr>
          <w:rStyle w:val="FootnoteCharacters"/>
        </w:rPr>
        <w:footnoteRef/>
      </w:r>
      <w:r>
        <w:rPr/>
        <w:t xml:space="preserve"> </w:t>
      </w:r>
      <w:r>
        <w:rPr/>
        <w:tab/>
        <w:t>Load forecasts are provided at the ISO-grid level (i.e., before netting distribution line losses).</w:t>
      </w:r>
    </w:p>
  </w:footnote>
  <w:footnote w:id="30">
    <w:p>
      <w:pPr>
        <w:pStyle w:val="FootnoteText"/>
        <w:spacing w:lineRule="atLeast" w:line="240" w:before="0" w:after="120"/>
        <w:ind w:hanging="360" w:start="360" w:end="0"/>
        <w:rPr/>
      </w:pPr>
      <w:r>
        <w:rPr>
          <w:rStyle w:val="FootnoteCharacters"/>
        </w:rPr>
        <w:footnoteRef/>
      </w:r>
      <w:r>
        <w:rPr/>
        <w:tab/>
        <w:t>Ruling, pp. 5 – 6.</w:t>
      </w:r>
    </w:p>
  </w:footnote>
  <w:footnote w:id="31">
    <w:p>
      <w:pPr>
        <w:pStyle w:val="FootnoteText"/>
        <w:spacing w:lineRule="atLeast" w:line="240" w:before="0" w:after="120"/>
        <w:ind w:hanging="360" w:start="360" w:end="0"/>
        <w:rPr/>
      </w:pPr>
      <w:r>
        <w:rPr>
          <w:rStyle w:val="FootnoteCharacters"/>
        </w:rPr>
        <w:footnoteRef/>
      </w:r>
      <w:r>
        <w:rPr/>
        <w:tab/>
        <w:t xml:space="preserve">This portion of this testimony addresses TURN’s protest to Advice 1521-E, dated March 22, 2001, (TURN’s Protest) and its comments on Utility Retained Generation (URG), the URG Cost Recovery Mechanism Described in the April 27, 2001 Ruling, and the Edison Memorandum of Understanding, dated May 11, 2001 (TURN’s Comments) and Aglet’s comments on the URG Cost Recovery Mechanism, dated May 11, 2001 (Aglet’s Comments).  </w:t>
      </w:r>
    </w:p>
  </w:footnote>
  <w:footnote w:id="32">
    <w:p>
      <w:pPr>
        <w:pStyle w:val="FootnoteText"/>
        <w:spacing w:lineRule="atLeast" w:line="240" w:before="0" w:after="120"/>
        <w:ind w:hanging="360" w:start="360" w:end="0"/>
        <w:rPr/>
      </w:pPr>
      <w:r>
        <w:rPr>
          <w:rStyle w:val="FootnoteCharacters"/>
        </w:rPr>
        <w:footnoteRef/>
      </w:r>
      <w:r>
        <w:rPr/>
        <w:tab/>
        <w:t>SCE lost nearly $1 billion (nominal) in returns due to the Commission’s reduced return on equity when the SONGS 2&amp;3 settlement was adopted.</w:t>
      </w:r>
    </w:p>
  </w:footnote>
  <w:footnote w:id="33">
    <w:p>
      <w:pPr>
        <w:pStyle w:val="FootnoteText"/>
        <w:spacing w:lineRule="atLeast" w:line="240" w:before="0" w:after="120"/>
        <w:ind w:hanging="360" w:start="360" w:end="0"/>
        <w:rPr/>
      </w:pPr>
      <w:r>
        <w:rPr>
          <w:rStyle w:val="FootnoteCharacters"/>
        </w:rPr>
        <w:footnoteRef/>
      </w:r>
      <w:r>
        <w:rPr/>
        <w:tab/>
        <w:t>D. 96-04-059, Ordering Paragraph No. 1, p. 17.</w:t>
      </w:r>
    </w:p>
  </w:footnote>
  <w:footnote w:id="34">
    <w:p>
      <w:pPr>
        <w:pStyle w:val="FootnoteText"/>
        <w:spacing w:lineRule="atLeast" w:line="240" w:before="0" w:after="120"/>
        <w:ind w:hanging="360" w:start="360" w:end="0"/>
        <w:rPr/>
      </w:pPr>
      <w:r>
        <w:rPr>
          <w:rStyle w:val="FootnoteCharacters"/>
        </w:rPr>
        <w:footnoteRef/>
      </w:r>
      <w:r>
        <w:rPr/>
        <w:tab/>
        <w:t>SCE 75.05% share.</w:t>
      </w:r>
    </w:p>
  </w:footnote>
  <w:footnote w:id="35">
    <w:p>
      <w:pPr>
        <w:pStyle w:val="FootnoteText"/>
        <w:spacing w:lineRule="atLeast" w:line="240" w:before="0" w:after="120"/>
        <w:ind w:hanging="360" w:start="360" w:end="0"/>
        <w:rPr/>
      </w:pPr>
      <w:r>
        <w:rPr>
          <w:rStyle w:val="FootnoteCharacters"/>
        </w:rPr>
        <w:footnoteRef/>
      </w:r>
      <w:r>
        <w:rPr/>
        <w:t xml:space="preserve"> </w:t>
      </w:r>
      <w:r>
        <w:rPr/>
        <w:tab/>
        <w:t>RSP, Phase 1, SCE, Worden, Tr.15/2015, lines 22-26.  (Ratepayers would be protected if the plants performed better than the historic capacity factors because the ratepayer exposure and shareholder opportunity is capped by the physical limitations of the plant.”)</w:t>
      </w:r>
    </w:p>
  </w:footnote>
  <w:footnote w:id="36">
    <w:p>
      <w:pPr>
        <w:pStyle w:val="FootnoteText"/>
        <w:spacing w:lineRule="atLeast" w:line="240" w:before="0" w:after="120"/>
        <w:ind w:hanging="360" w:start="360" w:end="0"/>
        <w:rPr/>
      </w:pPr>
      <w:r>
        <w:rPr>
          <w:rStyle w:val="FootnoteCharacters"/>
        </w:rPr>
        <w:footnoteRef/>
      </w:r>
      <w:r>
        <w:rPr/>
        <w:tab/>
        <w:t>P.U. Code, §367(a)(4)</w:t>
      </w:r>
    </w:p>
  </w:footnote>
  <w:footnote w:id="37">
    <w:p>
      <w:pPr>
        <w:pStyle w:val="FootnoteText"/>
        <w:spacing w:lineRule="atLeast" w:line="240" w:before="0" w:after="120"/>
        <w:ind w:hanging="360" w:start="360" w:end="0"/>
        <w:rPr/>
      </w:pPr>
      <w:r>
        <w:rPr>
          <w:rStyle w:val="FootnoteCharacters"/>
        </w:rPr>
        <w:footnoteRef/>
      </w:r>
      <w:r>
        <w:rPr/>
        <w:t xml:space="preserve"> </w:t>
      </w:r>
      <w:r>
        <w:rPr/>
        <w:tab/>
        <w:t>TURN’s Protest reads: “actual costs of running Diablo Canyon.”  SCE believes that TURN meant to say: “actual cost of running SONGS 2&amp;3” because SCE does not own any portion of Diablo Canyon, but owns a 75.05% share of SONGS 2&amp;3.</w:t>
      </w:r>
    </w:p>
  </w:footnote>
  <w:footnote w:id="38">
    <w:p>
      <w:pPr>
        <w:pStyle w:val="FootnoteText"/>
        <w:spacing w:lineRule="atLeast" w:line="240" w:before="0" w:after="120"/>
        <w:ind w:hanging="360" w:start="360" w:end="0"/>
        <w:rPr/>
      </w:pPr>
      <w:r>
        <w:rPr>
          <w:rStyle w:val="FootnoteCharacters"/>
        </w:rPr>
        <w:footnoteRef/>
      </w:r>
      <w:r>
        <w:rPr/>
        <w:t xml:space="preserve"> </w:t>
      </w:r>
      <w:r>
        <w:rPr/>
        <w:tab/>
        <w:t>TURN Comments, p.6.</w:t>
      </w:r>
    </w:p>
  </w:footnote>
  <w:footnote w:id="39">
    <w:p>
      <w:pPr>
        <w:pStyle w:val="FootnoteText"/>
        <w:spacing w:lineRule="atLeast" w:line="240" w:before="0" w:after="120"/>
        <w:ind w:hanging="360" w:start="360" w:end="0"/>
        <w:rPr/>
      </w:pPr>
      <w:r>
        <w:rPr>
          <w:rStyle w:val="FootnoteCharacters"/>
        </w:rPr>
        <w:footnoteRef/>
      </w:r>
      <w:r>
        <w:rPr/>
        <w:tab/>
        <w:t>ORA Protest to AL 1534-E-A.</w:t>
      </w:r>
    </w:p>
  </w:footnote>
  <w:footnote w:id="40">
    <w:p>
      <w:pPr>
        <w:pStyle w:val="FootnoteText"/>
        <w:spacing w:lineRule="atLeast" w:line="240" w:before="0" w:after="120"/>
        <w:ind w:hanging="360" w:start="360" w:end="0"/>
        <w:rPr/>
      </w:pPr>
      <w:r>
        <w:rPr>
          <w:rStyle w:val="FootnoteCharacters"/>
        </w:rPr>
        <w:footnoteRef/>
      </w:r>
      <w:r>
        <w:rPr/>
        <w:tab/>
        <w:t xml:space="preserve">At p. 27, the MOU states: “Accordingly, new legislation will provide that SCE’s authorized return on equity </w:t>
      </w:r>
      <w:r>
        <w:rPr>
          <w:u w:val="single"/>
        </w:rPr>
        <w:t>may not be reduced by the CPUC below [SCE’s] current 11.6% before December 31, 2010</w:t>
      </w:r>
      <w:r>
        <w:rPr/>
        <w:t>, and that prior to such date, the CPUC will not establish a ratemaking capital structure for SCE with different proportions of common equity or preferred equity to debt than that set forth in current authorizations.”</w:t>
      </w:r>
    </w:p>
  </w:footnote>
  <w:footnote w:id="41">
    <w:p>
      <w:pPr>
        <w:pStyle w:val="FootnoteText"/>
        <w:spacing w:lineRule="atLeast" w:line="240" w:before="0" w:after="120"/>
        <w:ind w:hanging="360" w:start="360" w:end="0"/>
        <w:rPr/>
      </w:pPr>
      <w:r>
        <w:rPr>
          <w:rStyle w:val="FootnoteCharacters"/>
        </w:rPr>
        <w:footnoteRef/>
      </w:r>
      <w:r>
        <w:rPr/>
        <w:tab/>
        <w:t xml:space="preserve">D.01-01-040, January 18, 2001. </w:t>
      </w:r>
    </w:p>
  </w:footnote>
  <w:footnote w:id="42">
    <w:p>
      <w:pPr>
        <w:pStyle w:val="FootnoteText"/>
        <w:spacing w:lineRule="atLeast" w:line="240" w:before="0" w:after="120"/>
        <w:ind w:hanging="360" w:start="360" w:end="0"/>
        <w:rPr/>
      </w:pPr>
      <w:r>
        <w:rPr>
          <w:rStyle w:val="FootnoteCharacters"/>
        </w:rPr>
        <w:footnoteRef/>
      </w:r>
      <w:r>
        <w:rPr/>
        <w:tab/>
        <w:t xml:space="preserve">A.00-05-024, </w:t>
      </w:r>
      <w:r>
        <w:rPr>
          <w:i/>
        </w:rPr>
        <w:t>Administrative Law Judge's Ruling Re Evidentiary Hearing</w:t>
      </w:r>
      <w:r>
        <w:rPr/>
        <w:t xml:space="preserve">, January 10, 2001. </w:t>
      </w:r>
    </w:p>
  </w:footnote>
  <w:footnote w:id="43">
    <w:p>
      <w:pPr>
        <w:pStyle w:val="FootnoteText"/>
        <w:spacing w:lineRule="atLeast" w:line="240" w:before="0" w:after="120"/>
        <w:ind w:hanging="360" w:start="360" w:end="0"/>
        <w:rPr/>
      </w:pPr>
      <w:r>
        <w:rPr>
          <w:rStyle w:val="FootnoteCharacters"/>
        </w:rPr>
        <w:footnoteRef/>
      </w:r>
      <w:r>
        <w:rPr/>
        <w:tab/>
        <w:t>D.96-11-060 in A.96-05-022, et al.</w:t>
      </w:r>
    </w:p>
  </w:footnote>
  <w:footnote w:id="44">
    <w:p>
      <w:pPr>
        <w:pStyle w:val="FootnoteText"/>
        <w:spacing w:lineRule="atLeast" w:line="240" w:before="0" w:after="120"/>
        <w:ind w:hanging="360" w:start="360" w:end="0"/>
        <w:rPr/>
      </w:pPr>
      <w:r>
        <w:rPr>
          <w:rStyle w:val="FootnoteCharacters"/>
        </w:rPr>
        <w:footnoteRef/>
      </w:r>
      <w:r>
        <w:rPr/>
        <w:tab/>
        <w:t>D.96-11-060, 174 PUR 4th 1, 21.</w:t>
      </w:r>
    </w:p>
  </w:footnote>
  <w:footnote w:id="45">
    <w:p>
      <w:pPr>
        <w:pStyle w:val="FootnoteText"/>
        <w:spacing w:lineRule="atLeast" w:line="240" w:before="0" w:after="120"/>
        <w:ind w:hanging="360" w:start="360" w:end="0"/>
        <w:rPr/>
      </w:pPr>
      <w:r>
        <w:rPr>
          <w:rStyle w:val="FootnoteCharacters"/>
        </w:rPr>
        <w:footnoteRef/>
      </w:r>
      <w:r>
        <w:rPr/>
        <w:tab/>
        <w:t xml:space="preserve">Comments of Aglet Consumer Alliance on Regulation of Utility Retained Generation, (Aglet Comments) p. 3.  </w:t>
      </w:r>
    </w:p>
  </w:footnote>
  <w:footnote w:id="46">
    <w:p>
      <w:pPr>
        <w:pStyle w:val="FootnoteText"/>
        <w:spacing w:lineRule="atLeast" w:line="240" w:before="0" w:after="120"/>
        <w:ind w:hanging="360" w:start="360" w:end="0"/>
        <w:rPr/>
      </w:pPr>
      <w:r>
        <w:rPr>
          <w:rStyle w:val="FootnoteCharacters"/>
        </w:rPr>
        <w:footnoteRef/>
      </w:r>
      <w:r>
        <w:rPr/>
        <w:tab/>
        <w:t xml:space="preserve">Comments of the Office of Ratepayer Advocates (“ORA”) to the Joint Assigned Commissioner’s and Administrative Law Judge’s Ruling (“Joint Ruling”) Regarding Southern California’s Retained Generation, (ORA Comments) p. 3. </w:t>
      </w:r>
    </w:p>
  </w:footnote>
  <w:footnote w:id="47">
    <w:p>
      <w:pPr>
        <w:pStyle w:val="FootnoteText"/>
        <w:spacing w:lineRule="atLeast" w:line="240" w:before="0" w:after="120"/>
        <w:ind w:hanging="360" w:start="360" w:end="0"/>
        <w:rPr/>
      </w:pPr>
      <w:r>
        <w:rPr>
          <w:rStyle w:val="FootnoteCharacters"/>
        </w:rPr>
        <w:footnoteRef/>
      </w:r>
      <w:r>
        <w:rPr/>
        <w:tab/>
        <w:t xml:space="preserve">Comments of The Utility Reform Network on Utility Retained Generation (URG), the URG Cost Recovery Mechanism Described in the April 27, 2001 Ruling, and the Edison Memorandum of Understanding, (TURN Comments) pp. 4-5. </w:t>
      </w:r>
    </w:p>
  </w:footnote>
  <w:footnote w:id="48">
    <w:p>
      <w:pPr>
        <w:pStyle w:val="FootnoteText"/>
        <w:spacing w:lineRule="atLeast" w:line="240" w:before="0" w:after="120"/>
        <w:ind w:hanging="360" w:start="360" w:end="0"/>
        <w:rPr/>
      </w:pPr>
      <w:r>
        <w:rPr>
          <w:rStyle w:val="FootnoteCharacters"/>
        </w:rPr>
        <w:footnoteRef/>
      </w:r>
      <w:r>
        <w:rPr/>
        <w:tab/>
        <w:t xml:space="preserve">ORA Comments, p. 3. </w:t>
      </w:r>
    </w:p>
  </w:footnote>
  <w:footnote w:id="49">
    <w:p>
      <w:pPr>
        <w:pStyle w:val="FootnoteText"/>
        <w:spacing w:lineRule="atLeast" w:line="240" w:before="0" w:after="120"/>
        <w:ind w:hanging="360" w:start="360" w:end="0"/>
        <w:rPr/>
      </w:pPr>
      <w:r>
        <w:rPr>
          <w:rStyle w:val="FootnoteCharacters"/>
        </w:rPr>
        <w:footnoteRef/>
      </w:r>
      <w:r>
        <w:rPr/>
        <w:tab/>
        <w:t>Calculated from monthly Moody's bond yield data provided by the Bloomberg Professional Service.</w:t>
      </w:r>
    </w:p>
  </w:footnote>
  <w:footnote w:id="50">
    <w:p>
      <w:pPr>
        <w:pStyle w:val="FootnoteText"/>
        <w:spacing w:lineRule="atLeast" w:line="240" w:before="0" w:after="120"/>
        <w:ind w:hanging="360" w:start="360" w:end="0"/>
        <w:rPr/>
      </w:pPr>
      <w:r>
        <w:rPr>
          <w:rStyle w:val="FootnoteCharacters"/>
        </w:rPr>
        <w:footnoteRef/>
      </w:r>
      <w:r>
        <w:rPr/>
        <w:tab/>
      </w:r>
      <w:r>
        <w:rPr>
          <w:u w:val="single"/>
        </w:rPr>
        <w:t>Id</w:t>
      </w:r>
      <w:r>
        <w:rPr/>
        <w:t>.</w:t>
      </w:r>
    </w:p>
  </w:footnote>
  <w:footnote w:id="51">
    <w:p>
      <w:pPr>
        <w:pStyle w:val="FootnoteText"/>
        <w:spacing w:lineRule="atLeast" w:line="240" w:before="0" w:after="120"/>
        <w:ind w:hanging="360" w:start="360" w:end="0"/>
        <w:rPr/>
      </w:pPr>
      <w:r>
        <w:rPr>
          <w:rStyle w:val="FootnoteCharacters"/>
        </w:rPr>
        <w:footnoteRef/>
      </w:r>
      <w:r>
        <w:rPr/>
        <w:tab/>
        <w:t xml:space="preserve">ORA Comments, p. 3. </w:t>
      </w:r>
    </w:p>
  </w:footnote>
  <w:footnote w:id="52">
    <w:p>
      <w:pPr>
        <w:pStyle w:val="FootnoteText"/>
        <w:spacing w:lineRule="atLeast" w:line="240" w:before="0" w:after="120"/>
        <w:ind w:hanging="360" w:start="360" w:end="0"/>
        <w:rPr/>
      </w:pPr>
      <w:r>
        <w:rPr>
          <w:rStyle w:val="FootnoteCharacters"/>
        </w:rPr>
        <w:footnoteRef/>
      </w:r>
      <w:r>
        <w:rPr/>
        <w:tab/>
        <w:t>D.95-12-063 as modified by D.96-01-009, 166 PUR 4th 1, 46.</w:t>
      </w:r>
    </w:p>
  </w:footnote>
  <w:footnote w:id="53">
    <w:p>
      <w:pPr>
        <w:pStyle w:val="FootnoteText"/>
        <w:spacing w:lineRule="atLeast" w:line="240" w:before="0" w:after="120"/>
        <w:ind w:hanging="360" w:start="360" w:end="0"/>
        <w:rPr/>
      </w:pPr>
      <w:r>
        <w:rPr>
          <w:rStyle w:val="FootnoteCharacters"/>
        </w:rPr>
        <w:footnoteRef/>
      </w:r>
      <w:r>
        <w:rPr/>
        <w:tab/>
        <w:t xml:space="preserve">On May 3, 2001, the Commission issued its Order Denying Rehearing of Decision 01-01-061 by Southern California Energy [sic] Company, Pacific Gas and Electric Company, and San Diego Gas &amp; Electric Company.  In the Order Denying Rehearing, the Commission states that “[w]e meant that Edison should use the reduced rate of return on equity for transition cost recovery of generation related plant assets adopted in D.97-11-074 in determining its capital related revenue requirement for retained generation.” [D. 01-05-035, mimeo, p. 7.]  The difference in return between the reduced rate of return and the rate of return authorized in this phase of the proceeding is being recorded in a memorandum account.  Disposition of the amounts recorded in the memorandum account will be decided in this phase of the proceeding. </w:t>
      </w:r>
    </w:p>
  </w:footnote>
  <w:footnote w:id="54">
    <w:p>
      <w:pPr>
        <w:pStyle w:val="FootnoteText"/>
        <w:spacing w:lineRule="atLeast" w:line="240" w:before="0" w:after="120"/>
        <w:ind w:hanging="360" w:start="360" w:end="0"/>
        <w:rPr/>
      </w:pPr>
      <w:r>
        <w:rPr>
          <w:rStyle w:val="FootnoteCharacters"/>
        </w:rPr>
        <w:footnoteRef/>
      </w:r>
      <w:r>
        <w:rPr/>
        <w:tab/>
        <w:t xml:space="preserve">TURN Comments, p. 7. </w:t>
      </w:r>
    </w:p>
  </w:footnote>
  <w:footnote w:id="55">
    <w:p>
      <w:pPr>
        <w:pStyle w:val="FootnoteText"/>
        <w:spacing w:lineRule="atLeast" w:line="240" w:before="0" w:after="120"/>
        <w:ind w:hanging="360" w:start="360" w:end="0"/>
        <w:rPr/>
      </w:pPr>
      <w:r>
        <w:rPr>
          <w:rStyle w:val="FootnoteCharacters"/>
        </w:rPr>
        <w:footnoteRef/>
      </w:r>
      <w:r>
        <w:rPr/>
        <w:tab/>
        <w:t xml:space="preserve">Southern California Edison Company’s (U 338-E) Comments on Joint Assigned Commissioner’s and Administrative Law Judge’s Ruling Regarding Southern California Edison’s Utility Retained Generation, filed May 4, 2001, (SCE Opening Comments) p. 7. </w:t>
      </w:r>
    </w:p>
  </w:footnote>
  <w:footnote w:id="56">
    <w:p>
      <w:pPr>
        <w:pStyle w:val="FootnoteText"/>
        <w:spacing w:lineRule="atLeast" w:line="240" w:before="0" w:after="120"/>
        <w:ind w:hanging="360" w:start="360" w:end="0"/>
        <w:rPr/>
      </w:pPr>
      <w:r>
        <w:rPr>
          <w:rStyle w:val="FootnoteCharacters"/>
        </w:rPr>
        <w:footnoteRef/>
      </w:r>
      <w:r>
        <w:rPr/>
        <w:t xml:space="preserve">   </w:t>
      </w:r>
      <w:r>
        <w:rPr/>
        <w:t>The return and taxes for capital additions related to plants that have been divested is tracked in the NGCAMA from January 1, 1998 through the time of divestiture.</w:t>
      </w:r>
    </w:p>
  </w:footnote>
  <w:footnote w:id="57">
    <w:p>
      <w:pPr>
        <w:pStyle w:val="FootnoteText"/>
        <w:spacing w:lineRule="atLeast" w:line="240" w:before="0" w:after="120"/>
        <w:ind w:hanging="360" w:start="360" w:end="0"/>
        <w:rPr/>
      </w:pPr>
      <w:r>
        <w:rPr>
          <w:rStyle w:val="FootnoteCharacters"/>
        </w:rPr>
        <w:footnoteRef/>
      </w:r>
      <w:r>
        <w:rPr/>
        <w:t xml:space="preserve">   </w:t>
      </w:r>
      <w:r>
        <w:rPr/>
        <w:t>SCE will stop tracking the return and taxes associated with this $47 million of capital additions in the NGCAMA when they are included in the URG rate base.</w:t>
      </w:r>
    </w:p>
  </w:footnote>
  <w:footnote w:id="58">
    <w:p>
      <w:pPr>
        <w:pStyle w:val="FootnoteText"/>
        <w:spacing w:lineRule="atLeast" w:line="240" w:before="0" w:after="120"/>
        <w:ind w:hanging="360" w:start="360" w:end="0"/>
        <w:rPr/>
      </w:pPr>
      <w:r>
        <w:rPr>
          <w:rStyle w:val="FootnoteCharacters"/>
        </w:rPr>
        <w:footnoteRef/>
      </w:r>
      <w:r>
        <w:rPr/>
        <w:tab/>
        <w:t>T</w:t>
      </w:r>
      <w:r>
        <w:rPr>
          <w:rFonts w:cs="Century Schoolbook" w:ascii="Century Schoolbook" w:hAnsi="Century Schoolbook"/>
          <w:color w:val="000000"/>
        </w:rPr>
        <w:t>he MOU requires SCE to retain its generating facilities through December 31, 2010.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lingTitle"/>
      <w:rPr/>
    </w:pPr>
    <w:r>
      <w:rPr/>
      <w:fldChar w:fldCharType="begin"/>
    </w:r>
    <w:r>
      <w:rPr/>
      <w:instrText xml:space="preserve"> REF FilingTitle \h </w:instrText>
    </w:r>
    <w:r>
      <w:rPr/>
      <w:fldChar w:fldCharType="separate"/>
    </w:r>
    <w:r>
      <w:rPr/>
      <w:t>Testimony on Utility Retained Generation</w:t>
    </w:r>
    <w:r>
      <w:rPr/>
      <w:fldChar w:fldCharType="end"/>
    </w:r>
  </w:p>
  <w:p>
    <w:pPr>
      <w:pStyle w:val="TOCTitle"/>
      <w:rPr/>
    </w:pPr>
    <w:r>
      <w:rPr/>
      <w:t>Table Of Contents (Continued)</w:t>
    </w:r>
  </w:p>
  <w:tbl>
    <w:tblPr>
      <w:tblW w:w="10584" w:type="dxa"/>
      <w:jc w:val="start"/>
      <w:tblInd w:w="0" w:type="dxa"/>
      <w:tblLayout w:type="fixed"/>
      <w:tblCellMar>
        <w:top w:w="0" w:type="dxa"/>
        <w:start w:w="72" w:type="dxa"/>
        <w:bottom w:w="0" w:type="dxa"/>
        <w:end w:w="72" w:type="dxa"/>
      </w:tblCellMar>
    </w:tblPr>
    <w:tblGrid>
      <w:gridCol w:w="7776"/>
      <w:gridCol w:w="936"/>
      <w:gridCol w:w="1872"/>
    </w:tblGrid>
    <w:tr>
      <w:trPr/>
      <w:tc>
        <w:tcPr>
          <w:tcW w:w="7776" w:type="dxa"/>
          <w:tcBorders/>
        </w:tcPr>
        <w:p>
          <w:pPr>
            <w:pStyle w:val="TOCtable"/>
            <w:suppressLineNumbers/>
            <w:rPr/>
          </w:pPr>
          <w:r>
            <w:rPr/>
            <w:t>Section</w:t>
          </w:r>
        </w:p>
      </w:tc>
      <w:tc>
        <w:tcPr>
          <w:tcW w:w="936" w:type="dxa"/>
          <w:tcBorders/>
        </w:tcPr>
        <w:p>
          <w:pPr>
            <w:pStyle w:val="TOCtable"/>
            <w:suppressLineNumbers/>
            <w:rPr/>
          </w:pPr>
          <w:r>
            <w:rPr/>
            <w:t>Page</w:t>
          </w:r>
        </w:p>
      </w:tc>
      <w:tc>
        <w:tcPr>
          <w:tcW w:w="1872" w:type="dxa"/>
          <w:tcBorders/>
        </w:tcPr>
        <w:p>
          <w:pPr>
            <w:pStyle w:val="TOCtable"/>
            <w:suppressLineNumbers/>
            <w:rPr/>
          </w:pPr>
          <w:r>
            <w:rPr/>
            <w:t>Witness</w:t>
          </w:r>
        </w:p>
      </w:tc>
    </w:tr>
  </w:tbl>
  <w:p>
    <w:pPr>
      <w:pStyle w:val="TOCColumnHeading"/>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lingTitle"/>
      <w:rPr/>
    </w:pPr>
    <w:bookmarkStart w:id="0" w:name="FilingTitle"/>
    <w:r>
      <w:rPr/>
      <w:t>Testimony on Utility Retained Generation</w:t>
    </w:r>
    <w:bookmarkEnd w:id="0"/>
  </w:p>
  <w:p>
    <w:pPr>
      <w:pStyle w:val="TOCTitle"/>
      <w:rPr/>
    </w:pPr>
    <w:r>
      <w:rPr/>
      <w:t>Table Of Contents</w:t>
    </w:r>
  </w:p>
  <w:tbl>
    <w:tblPr>
      <w:tblW w:w="10584" w:type="dxa"/>
      <w:jc w:val="start"/>
      <w:tblInd w:w="0" w:type="dxa"/>
      <w:tblLayout w:type="fixed"/>
      <w:tblCellMar>
        <w:top w:w="0" w:type="dxa"/>
        <w:start w:w="72" w:type="dxa"/>
        <w:bottom w:w="0" w:type="dxa"/>
        <w:end w:w="72" w:type="dxa"/>
      </w:tblCellMar>
    </w:tblPr>
    <w:tblGrid>
      <w:gridCol w:w="7776"/>
      <w:gridCol w:w="936"/>
      <w:gridCol w:w="1872"/>
    </w:tblGrid>
    <w:tr>
      <w:trPr/>
      <w:tc>
        <w:tcPr>
          <w:tcW w:w="7776" w:type="dxa"/>
          <w:tcBorders/>
        </w:tcPr>
        <w:p>
          <w:pPr>
            <w:pStyle w:val="TOCtable"/>
            <w:suppressLineNumbers/>
            <w:rPr/>
          </w:pPr>
          <w:r>
            <w:rPr/>
            <w:t>Section</w:t>
          </w:r>
        </w:p>
      </w:tc>
      <w:tc>
        <w:tcPr>
          <w:tcW w:w="936" w:type="dxa"/>
          <w:tcBorders/>
        </w:tcPr>
        <w:p>
          <w:pPr>
            <w:pStyle w:val="TOCtable"/>
            <w:suppressLineNumbers/>
            <w:rPr/>
          </w:pPr>
          <w:r>
            <w:rPr/>
            <w:t>Page</w:t>
          </w:r>
        </w:p>
      </w:tc>
      <w:tc>
        <w:tcPr>
          <w:tcW w:w="1872" w:type="dxa"/>
          <w:tcBorders/>
        </w:tcPr>
        <w:p>
          <w:pPr>
            <w:pStyle w:val="TOCtable"/>
            <w:suppressLineNumbers/>
            <w:rPr/>
          </w:pPr>
          <w:r>
            <w:rPr/>
            <w:t>Witness</w:t>
          </w:r>
        </w:p>
      </w:tc>
    </w:tr>
  </w:tbl>
  <w:p>
    <w:pPr>
      <w:pStyle w:val="TOCColumnHeading"/>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240" w:before="0" w:after="240"/>
      <w:jc w:val="cent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5943600" cy="175260"/>
              <wp:effectExtent l="0" t="0" r="0" b="0"/>
              <wp:wrapNone/>
              <wp:docPr id="12" name="Frame4"/>
              <a:graphic xmlns:a="http://schemas.openxmlformats.org/drawingml/2006/main">
                <a:graphicData uri="http://schemas.microsoft.com/office/word/2010/wordprocessingShape">
                  <wps:wsp>
                    <wps:cNvSpPr txBox="1"/>
                    <wps:spPr>
                      <a:xfrm>
                        <a:off x="0" y="0"/>
                        <a:ext cx="5943600" cy="175260"/>
                      </a:xfrm>
                      <a:prstGeom prst="rect"/>
                      <a:solidFill>
                        <a:srgbClr val="FFFFFF"/>
                      </a:solidFill>
                    </wps:spPr>
                    <wps:txbx>
                      <w:txbxContent>
                        <w:p>
                          <w:pPr>
                            <w:pStyle w:val="Header"/>
                            <w:spacing w:before="0" w:after="240"/>
                            <w:jc w:val="start"/>
                            <w:rPr/>
                          </w:pPr>
                          <w:r>
                            <w:rPr/>
                          </w:r>
                        </w:p>
                      </w:txbxContent>
                    </wps:txbx>
                    <wps:bodyPr anchor="t" lIns="0" tIns="0" rIns="0" bIns="0">
                      <a:noAutofit/>
                    </wps:bodyPr>
                  </wps:wsp>
                </a:graphicData>
              </a:graphic>
            </wp:anchor>
          </w:drawing>
        </mc:Choice>
        <mc:Fallback>
          <w:pict>
            <v:rect style="position:absolute;rotation:-0;width:468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spacing w:before="0" w:after="240"/>
                      <w:jc w:val="start"/>
                      <w:rPr/>
                    </w:pPr>
                    <w:r>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44"/>
        </w:tabs>
        <w:ind w:start="0" w:hanging="144"/>
      </w:pPr>
      <w:rPr>
        <w:u w:val="none"/>
      </w:rPr>
    </w:lvl>
    <w:lvl w:ilvl="1">
      <w:start w:val="1"/>
      <w:numFmt w:val="upperLetter"/>
      <w:lvlText w:val="%2."/>
      <w:lvlJc w:val="start"/>
      <w:pPr>
        <w:tabs>
          <w:tab w:val="num" w:pos="720"/>
        </w:tabs>
        <w:ind w:start="720" w:hanging="720"/>
      </w:pPr>
      <w:rPr>
        <w:u w:val="none"/>
      </w:rPr>
    </w:lvl>
    <w:lvl w:ilvl="2">
      <w:start w:val="1"/>
      <w:numFmt w:val="decimal"/>
      <w:lvlText w:val="%3."/>
      <w:lvlJc w:val="start"/>
      <w:pPr>
        <w:tabs>
          <w:tab w:val="num" w:pos="720"/>
        </w:tabs>
        <w:ind w:start="1440" w:hanging="720"/>
      </w:pPr>
      <w:rPr>
        <w:u w:val="none"/>
      </w:rPr>
    </w:lvl>
    <w:lvl w:ilvl="3">
      <w:start w:val="1"/>
      <w:numFmt w:val="lowerLetter"/>
      <w:lvlText w:val="%4)"/>
      <w:lvlJc w:val="start"/>
      <w:pPr>
        <w:tabs>
          <w:tab w:val="num" w:pos="720"/>
        </w:tabs>
        <w:ind w:start="2160" w:hanging="720"/>
      </w:pPr>
      <w:rPr>
        <w:u w:val="none"/>
      </w:rPr>
    </w:lvl>
    <w:lvl w:ilvl="4">
      <w:start w:val="1"/>
      <w:numFmt w:val="decimal"/>
      <w:lvlText w:val="(%5)"/>
      <w:lvlJc w:val="start"/>
      <w:pPr>
        <w:tabs>
          <w:tab w:val="num" w:pos="720"/>
        </w:tabs>
        <w:ind w:start="2880" w:hanging="720"/>
      </w:pPr>
      <w:rPr>
        <w:u w:val="none"/>
      </w:rPr>
    </w:lvl>
    <w:lvl w:ilvl="5">
      <w:start w:val="1"/>
      <w:numFmt w:val="lowerLetter"/>
      <w:lvlText w:val="(%6)"/>
      <w:lvlJc w:val="start"/>
      <w:pPr>
        <w:tabs>
          <w:tab w:val="num" w:pos="720"/>
        </w:tabs>
        <w:ind w:start="3600" w:hanging="720"/>
      </w:pPr>
      <w:rPr>
        <w:u w:val="none"/>
      </w:rPr>
    </w:lvl>
    <w:lvl w:ilvl="6">
      <w:start w:val="1"/>
      <w:numFmt w:val="lowerRoman"/>
      <w:lvlText w:val="(%7)"/>
      <w:lvlJc w:val="start"/>
      <w:pPr>
        <w:tabs>
          <w:tab w:val="num" w:pos="720"/>
        </w:tabs>
        <w:ind w:start="4320" w:hanging="720"/>
      </w:pPr>
      <w:rPr>
        <w:u w:val="none"/>
      </w:rPr>
    </w:lvl>
    <w:lvl w:ilvl="7">
      <w:start w:val="1"/>
      <w:numFmt w:val="lowerLetter"/>
      <w:lvlText w:val="(%8)"/>
      <w:lvlJc w:val="start"/>
      <w:pPr>
        <w:tabs>
          <w:tab w:val="num" w:pos="720"/>
        </w:tabs>
        <w:ind w:start="5040" w:hanging="720"/>
      </w:pPr>
      <w:rPr>
        <w:u w:val="none"/>
      </w:rPr>
    </w:lvl>
    <w:lvl w:ilvl="8">
      <w:start w:val="1"/>
      <w:numFmt w:val="lowerRoman"/>
      <w:lvlText w:val="(%9)"/>
      <w:lvlJc w:val="start"/>
      <w:pPr>
        <w:tabs>
          <w:tab w:val="num" w:pos="720"/>
        </w:tabs>
        <w:ind w:start="5760" w:hanging="720"/>
      </w:pPr>
      <w:rPr>
        <w:u w:val="non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2160"/>
        </w:tabs>
        <w:ind w:start="2160" w:hanging="360"/>
      </w:pPr>
      <w:rPr>
        <w:rFonts w:ascii="Symbol" w:hAnsi="Symbol" w:cs="Symbol" w:hint="default"/>
      </w:rPr>
    </w:lvl>
    <w:lvl w:ilvl="1">
      <w:start w:val="1"/>
      <w:numFmt w:val="bullet"/>
      <w:lvlText w:val="o"/>
      <w:lvlJc w:val="start"/>
      <w:pPr>
        <w:tabs>
          <w:tab w:val="num" w:pos="2880"/>
        </w:tabs>
        <w:ind w:start="2880" w:hanging="360"/>
      </w:pPr>
      <w:rPr>
        <w:rFonts w:ascii="Courier New" w:hAnsi="Courier New" w:cs="Courier New"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lowerLetter"/>
      <w:lvlText w:val="%1)"/>
      <w:lvlJc w:val="start"/>
      <w:pPr>
        <w:tabs>
          <w:tab w:val="num" w:pos="2160"/>
        </w:tabs>
        <w:ind w:start="2160" w:hanging="360"/>
      </w:pPr>
    </w:lvl>
    <w:lvl w:ilvl="1">
      <w:start w:val="1"/>
      <w:numFmt w:val="lowerLetter"/>
      <w:lvlText w:val="%2."/>
      <w:lvlJc w:val="start"/>
      <w:pPr>
        <w:tabs>
          <w:tab w:val="num" w:pos="2880"/>
        </w:tabs>
        <w:ind w:start="2880" w:hanging="360"/>
      </w:pPr>
    </w:lvl>
    <w:lvl w:ilvl="2">
      <w:start w:val="1"/>
      <w:numFmt w:val="lowerRoman"/>
      <w:lvlText w:val="%3."/>
      <w:lvlJc w:val="end"/>
      <w:pPr>
        <w:tabs>
          <w:tab w:val="num" w:pos="3600"/>
        </w:tabs>
        <w:ind w:start="3600" w:hanging="180"/>
      </w:pPr>
    </w:lvl>
    <w:lvl w:ilvl="3">
      <w:start w:val="1"/>
      <w:numFmt w:val="decimal"/>
      <w:lvlText w:val="%4."/>
      <w:lvlJc w:val="start"/>
      <w:pPr>
        <w:tabs>
          <w:tab w:val="num" w:pos="4320"/>
        </w:tabs>
        <w:ind w:start="4320" w:hanging="360"/>
      </w:pPr>
    </w:lvl>
    <w:lvl w:ilvl="4">
      <w:start w:val="1"/>
      <w:numFmt w:val="lowerLetter"/>
      <w:lvlText w:val="%5."/>
      <w:lvlJc w:val="start"/>
      <w:pPr>
        <w:tabs>
          <w:tab w:val="num" w:pos="5040"/>
        </w:tabs>
        <w:ind w:start="5040" w:hanging="360"/>
      </w:pPr>
    </w:lvl>
    <w:lvl w:ilvl="5">
      <w:start w:val="1"/>
      <w:numFmt w:val="lowerRoman"/>
      <w:lvlText w:val="%6."/>
      <w:lvlJc w:val="end"/>
      <w:pPr>
        <w:tabs>
          <w:tab w:val="num" w:pos="5760"/>
        </w:tabs>
        <w:ind w:start="5760" w:hanging="180"/>
      </w:pPr>
    </w:lvl>
    <w:lvl w:ilvl="6">
      <w:start w:val="1"/>
      <w:numFmt w:val="decimal"/>
      <w:lvlText w:val="%7."/>
      <w:lvlJc w:val="start"/>
      <w:pPr>
        <w:tabs>
          <w:tab w:val="num" w:pos="6480"/>
        </w:tabs>
        <w:ind w:start="6480" w:hanging="360"/>
      </w:pPr>
    </w:lvl>
    <w:lvl w:ilvl="7">
      <w:start w:val="1"/>
      <w:numFmt w:val="lowerLetter"/>
      <w:lvlText w:val="%8."/>
      <w:lvlJc w:val="start"/>
      <w:pPr>
        <w:tabs>
          <w:tab w:val="num" w:pos="7200"/>
        </w:tabs>
        <w:ind w:start="7200" w:hanging="360"/>
      </w:pPr>
    </w:lvl>
    <w:lvl w:ilvl="8">
      <w:start w:val="1"/>
      <w:numFmt w:val="lowerRoman"/>
      <w:lvlText w:val="%9."/>
      <w:lvlJc w:val="end"/>
      <w:pPr>
        <w:tabs>
          <w:tab w:val="num" w:pos="7920"/>
        </w:tabs>
        <w:ind w:start="7920" w:hanging="18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defaultTabStop w:val="36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480"/>
    </w:pPr>
    <w:rPr>
      <w:rFonts w:ascii="NewCenturySchlbk" w:hAnsi="NewCenturySchlbk" w:eastAsia="Times New Roman" w:cs="NewCenturySchlbk"/>
      <w:color w:val="auto"/>
      <w:sz w:val="24"/>
      <w:szCs w:val="20"/>
      <w:lang w:val="en-US" w:bidi="ar-SA" w:eastAsia="zh-CN"/>
    </w:rPr>
  </w:style>
  <w:style w:type="paragraph" w:styleId="Heading1">
    <w:name w:val="heading 1"/>
    <w:basedOn w:val="Normal"/>
    <w:next w:val="Heading1Text"/>
    <w:qFormat/>
    <w:pPr>
      <w:keepNext w:val="true"/>
      <w:keepLines/>
      <w:numPr>
        <w:ilvl w:val="0"/>
        <w:numId w:val="2"/>
      </w:numPr>
      <w:ind w:hanging="0" w:start="0" w:end="0"/>
      <w:jc w:val="center"/>
      <w:outlineLvl w:val="0"/>
    </w:pPr>
    <w:rPr>
      <w:b/>
      <w:color w:val="0000FF"/>
      <w:u w:val="single"/>
    </w:rPr>
  </w:style>
  <w:style w:type="paragraph" w:styleId="Heading2">
    <w:name w:val="heading 2"/>
    <w:basedOn w:val="Heading1"/>
    <w:next w:val="Heading2Text"/>
    <w:qFormat/>
    <w:pPr>
      <w:numPr>
        <w:ilvl w:val="0"/>
        <w:numId w:val="2"/>
      </w:numPr>
      <w:jc w:val="start"/>
      <w:outlineLvl w:val="1"/>
    </w:pPr>
    <w:rPr/>
  </w:style>
  <w:style w:type="paragraph" w:styleId="Heading3">
    <w:name w:val="heading 3"/>
    <w:basedOn w:val="Heading2"/>
    <w:next w:val="heading3Text"/>
    <w:qFormat/>
    <w:pPr>
      <w:numPr>
        <w:ilvl w:val="0"/>
        <w:numId w:val="2"/>
      </w:numPr>
      <w:outlineLvl w:val="2"/>
    </w:pPr>
    <w:rPr/>
  </w:style>
  <w:style w:type="paragraph" w:styleId="Heading4">
    <w:name w:val="heading 4"/>
    <w:basedOn w:val="Heading3"/>
    <w:next w:val="heading4Text"/>
    <w:qFormat/>
    <w:pPr>
      <w:numPr>
        <w:ilvl w:val="0"/>
        <w:numId w:val="2"/>
      </w:numPr>
      <w:outlineLvl w:val="3"/>
    </w:pPr>
    <w:rPr>
      <w:b w:val="false"/>
    </w:rPr>
  </w:style>
  <w:style w:type="paragraph" w:styleId="Heading5">
    <w:name w:val="heading 5"/>
    <w:basedOn w:val="Heading4"/>
    <w:next w:val="heading5Text"/>
    <w:qFormat/>
    <w:pPr>
      <w:numPr>
        <w:ilvl w:val="0"/>
        <w:numId w:val="2"/>
      </w:numPr>
      <w:outlineLvl w:val="4"/>
    </w:pPr>
    <w:rPr/>
  </w:style>
  <w:style w:type="paragraph" w:styleId="Heading6">
    <w:name w:val="heading 6"/>
    <w:basedOn w:val="Heading5"/>
    <w:next w:val="heading6Text"/>
    <w:qFormat/>
    <w:pPr>
      <w:numPr>
        <w:ilvl w:val="0"/>
        <w:numId w:val="2"/>
      </w:numPr>
      <w:outlineLvl w:val="5"/>
    </w:pPr>
    <w:rPr/>
  </w:style>
  <w:style w:type="paragraph" w:styleId="Heading7">
    <w:name w:val="heading 7"/>
    <w:basedOn w:val="Heading6"/>
    <w:next w:val="Heading7Text"/>
    <w:qFormat/>
    <w:pPr>
      <w:numPr>
        <w:ilvl w:val="0"/>
        <w:numId w:val="2"/>
      </w:numPr>
      <w:outlineLvl w:val="6"/>
    </w:pPr>
    <w:rPr/>
  </w:style>
  <w:style w:type="paragraph" w:styleId="Heading8">
    <w:name w:val="heading 8"/>
    <w:basedOn w:val="Heading7"/>
    <w:next w:val="Heading1Text"/>
    <w:qFormat/>
    <w:pPr>
      <w:numPr>
        <w:ilvl w:val="0"/>
        <w:numId w:val="2"/>
      </w:numPr>
      <w:outlineLvl w:val="7"/>
    </w:pPr>
    <w:rPr>
      <w:caps/>
    </w:rPr>
  </w:style>
  <w:style w:type="paragraph" w:styleId="Heading9">
    <w:name w:val="heading 9"/>
    <w:basedOn w:val="Normal"/>
    <w:next w:val="NormalIndent"/>
    <w:qFormat/>
    <w:pPr>
      <w:numPr>
        <w:ilvl w:val="0"/>
        <w:numId w:val="2"/>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val="false"/>
      <w:i w:val="false"/>
      <w:sz w:val="24"/>
      <w:u w:val="none"/>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Century Schoolbook" w:hAnsi="Century Schoolbook" w:cs="Century Schoolbook"/>
      <w:b w:val="false"/>
      <w:i w:val="false"/>
      <w:sz w:val="24"/>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1z0">
    <w:name w:val="WW8Num31z0"/>
    <w:qFormat/>
    <w:rPr>
      <w:rFonts w:ascii="Times New Roman" w:hAnsi="Times New Roman" w:cs="Times New Roman"/>
    </w:rPr>
  </w:style>
  <w:style w:type="character" w:styleId="WW8Num36z0">
    <w:name w:val="WW8Num36z0"/>
    <w:qFormat/>
    <w:rPr>
      <w:rFonts w:ascii="Wingdings" w:hAnsi="Wingdings" w:cs="Wingdings"/>
    </w:rPr>
  </w:style>
  <w:style w:type="character" w:styleId="WW8Num38z0">
    <w:name w:val="WW8Num38z0"/>
    <w:qFormat/>
    <w:rPr>
      <w:rFonts w:ascii="Times New Roman" w:hAnsi="Times New Roman" w:cs="Times New Roman"/>
    </w:rPr>
  </w:style>
  <w:style w:type="character" w:styleId="WW8Num40z0">
    <w:name w:val="WW8Num40z0"/>
    <w:qFormat/>
    <w:rPr>
      <w:b w:val="false"/>
      <w:i w:val="false"/>
      <w:sz w:val="24"/>
    </w:rPr>
  </w:style>
  <w:style w:type="character" w:styleId="WW8Num42z0">
    <w:name w:val="WW8Num42z0"/>
    <w:qFormat/>
    <w:rPr>
      <w:sz w:val="24"/>
    </w:rPr>
  </w:style>
  <w:style w:type="character" w:styleId="WW8Num43z0">
    <w:name w:val="WW8Num43z0"/>
    <w:qFormat/>
    <w:rPr>
      <w:rFonts w:ascii="Century Schoolbook" w:hAnsi="Century Schoolbook" w:cs="Century Schoolbook"/>
      <w:b w:val="false"/>
      <w:i w:val="false"/>
      <w:sz w:val="24"/>
      <w:u w:val="none"/>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b w:val="false"/>
      <w:i w:val="false"/>
      <w:sz w:val="24"/>
    </w:rPr>
  </w:style>
  <w:style w:type="character" w:styleId="WW8Num49z0">
    <w:name w:val="WW8Num49z0"/>
    <w:qFormat/>
    <w:rPr>
      <w:rFonts w:ascii="Symbol" w:hAnsi="Symbol" w:cs="Symbol"/>
    </w:rPr>
  </w:style>
  <w:style w:type="character" w:styleId="WW8Num50z0">
    <w:name w:val="WW8Num50z0"/>
    <w:qFormat/>
    <w:rPr>
      <w:b w:val="false"/>
      <w:i w:val="false"/>
      <w:sz w:val="24"/>
    </w:rPr>
  </w:style>
  <w:style w:type="character" w:styleId="WW8Num51z0">
    <w:name w:val="WW8Num51z0"/>
    <w:qFormat/>
    <w:rPr>
      <w:sz w:val="24"/>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Times New Roman" w:hAnsi="Times New Roman" w:cs="Times New Roman"/>
    </w:rPr>
  </w:style>
  <w:style w:type="character" w:styleId="WW8Num54z0">
    <w:name w:val="WW8Num54z0"/>
    <w:qFormat/>
    <w:rPr>
      <w:rFonts w:ascii="Symbol" w:hAnsi="Symbol" w:cs="Symbol"/>
    </w:rPr>
  </w:style>
  <w:style w:type="character" w:styleId="WW8NumSt8z0">
    <w:name w:val="WW8NumSt8z0"/>
    <w:qFormat/>
    <w:rPr>
      <w:rFonts w:ascii="Symbol" w:hAnsi="Symbol" w:cs="Symbol"/>
    </w:rPr>
  </w:style>
  <w:style w:type="character" w:styleId="WW8NumSt20z0">
    <w:name w:val="WW8NumSt20z0"/>
    <w:qFormat/>
    <w:rPr>
      <w:rFonts w:ascii="Symbol" w:hAnsi="Symbol" w:cs="Symbol"/>
    </w:rPr>
  </w:style>
  <w:style w:type="character" w:styleId="WW8NumSt27z0">
    <w:name w:val="WW8NumSt27z0"/>
    <w:qFormat/>
    <w:rPr>
      <w:rFonts w:ascii="Symbol" w:hAnsi="Symbol" w:cs="Symbol"/>
      <w:sz w:val="12"/>
    </w:rPr>
  </w:style>
  <w:style w:type="character" w:styleId="WW8NumSt34z0">
    <w:name w:val="WW8NumSt34z0"/>
    <w:qFormat/>
    <w:rPr>
      <w:rFonts w:ascii="Times New Roman" w:hAnsi="Times New Roman" w:cs="Times New Roman"/>
    </w:rPr>
  </w:style>
  <w:style w:type="character" w:styleId="WW8NumSt38z0">
    <w:name w:val="WW8NumSt38z0"/>
    <w:qFormat/>
    <w:rPr>
      <w:sz w:val="24"/>
    </w:rPr>
  </w:style>
  <w:style w:type="character" w:styleId="WW8NumSt45z0">
    <w:name w:val="WW8NumSt45z0"/>
    <w:qFormat/>
    <w:rPr>
      <w:rFonts w:ascii="Symbol" w:hAnsi="Symbol" w:cs="Symbol"/>
    </w:rPr>
  </w:style>
  <w:style w:type="character" w:styleId="WW8NumSt52z0">
    <w:name w:val="WW8NumSt52z0"/>
    <w:qFormat/>
    <w:rPr>
      <w:sz w:val="24"/>
    </w:rPr>
  </w:style>
  <w:style w:type="character" w:styleId="WW8NumSt54z0">
    <w:name w:val="WW8NumSt54z0"/>
    <w:qFormat/>
    <w:rPr>
      <w:rFonts w:ascii="Symbol" w:hAnsi="Symbol" w:cs="Symbol"/>
    </w:rPr>
  </w:style>
  <w:style w:type="character" w:styleId="WW8NumSt62z0">
    <w:name w:val="WW8NumSt62z0"/>
    <w:qFormat/>
    <w:rPr>
      <w:rFonts w:ascii="Century Schoolbook" w:hAnsi="Century Schoolbook" w:cs="Century Schoolbook"/>
      <w:b w:val="false"/>
      <w:i w:val="false"/>
      <w:sz w:val="24"/>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18"/>
    </w:rPr>
  </w:style>
  <w:style w:type="character" w:styleId="FootnoteCharacters">
    <w:name w:val="Footnote Characters"/>
    <w:basedOn w:val="DefaultParagraphFont"/>
    <w:qFormat/>
    <w:rPr>
      <w:color w:val="FF0000"/>
      <w:sz w:val="16"/>
      <w:u w:val="single"/>
      <w:vertAlign w:val="superscript"/>
    </w:rPr>
  </w:style>
  <w:style w:type="character" w:styleId="PageNumber">
    <w:name w:val="page number"/>
    <w:basedOn w:val="DefaultParagraphFont"/>
    <w:rPr/>
  </w:style>
  <w:style w:type="character" w:styleId="FooterPageNum">
    <w:name w:val="FooterPageNum"/>
    <w:basedOn w:val="DefaultParagraphFont"/>
    <w:qFormat/>
    <w:rPr>
      <w:rFonts w:ascii="NewCenturySchlbk" w:hAnsi="NewCenturySchlbk" w:cs="NewCenturySchlbk"/>
      <w:sz w:val="20"/>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suppressLineNumbers/>
      <w:spacing w:lineRule="auto" w:line="240" w:before="360" w:after="120"/>
      <w:jc w:val="center"/>
    </w:pPr>
    <w:rPr>
      <w:b/>
      <w:i/>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ind w:firstLine="720" w:start="0" w:end="0"/>
    </w:pPr>
    <w:rPr/>
  </w:style>
  <w:style w:type="paragraph" w:styleId="Heading2Text">
    <w:name w:val="Heading 2 Text"/>
    <w:basedOn w:val="Heading1Text"/>
    <w:qFormat/>
    <w:pPr/>
    <w:rPr/>
  </w:style>
  <w:style w:type="paragraph" w:styleId="heading3Text">
    <w:name w:val="heading 3 Text"/>
    <w:basedOn w:val="Heading1Text"/>
    <w:qFormat/>
    <w:pPr>
      <w:ind w:firstLine="1440" w:start="0" w:end="0"/>
    </w:pPr>
    <w:rPr/>
  </w:style>
  <w:style w:type="paragraph" w:styleId="heading4Text">
    <w:name w:val="heading 4 Text"/>
    <w:basedOn w:val="Heading1Text"/>
    <w:qFormat/>
    <w:pPr>
      <w:ind w:firstLine="2160" w:start="0" w:end="0"/>
    </w:pPr>
    <w:rPr/>
  </w:style>
  <w:style w:type="paragraph" w:styleId="heading5Text">
    <w:name w:val="heading 5 Text"/>
    <w:basedOn w:val="Heading1Text"/>
    <w:qFormat/>
    <w:pPr>
      <w:ind w:firstLine="2880" w:start="0" w:end="0"/>
    </w:pPr>
    <w:rPr/>
  </w:style>
  <w:style w:type="paragraph" w:styleId="heading6Text">
    <w:name w:val="heading 6 Text"/>
    <w:basedOn w:val="Heading1Text"/>
    <w:qFormat/>
    <w:pPr>
      <w:ind w:firstLine="3600" w:start="0" w:end="0"/>
    </w:pPr>
    <w:rPr/>
  </w:style>
  <w:style w:type="paragraph" w:styleId="Heading7Text">
    <w:name w:val="Heading 7 Text"/>
    <w:basedOn w:val="Heading1Text"/>
    <w:qFormat/>
    <w:pPr>
      <w:ind w:firstLine="4320" w:start="0" w:end="0"/>
    </w:pPr>
    <w:rPr/>
  </w:style>
  <w:style w:type="paragraph" w:styleId="NormalIndent">
    <w:name w:val="Normal Indent"/>
    <w:basedOn w:val="Normal"/>
    <w:qFormat/>
    <w:pPr>
      <w:ind w:hanging="0" w:start="720" w:end="0"/>
    </w:pPr>
    <w:rPr/>
  </w:style>
  <w:style w:type="paragraph" w:styleId="Date">
    <w:name w:val="Date"/>
    <w:basedOn w:val="Normal"/>
    <w:next w:val="Normal"/>
    <w:qFormat/>
    <w:pPr>
      <w:spacing w:before="480" w:after="0"/>
    </w:pPr>
    <w:rPr/>
  </w:style>
  <w:style w:type="paragraph" w:styleId="Quote1">
    <w:name w:val="Quote 1"/>
    <w:basedOn w:val="Normal"/>
    <w:next w:val="Heading1Text"/>
    <w:qFormat/>
    <w:pPr>
      <w:keepLines/>
      <w:spacing w:lineRule="exact" w:line="240" w:before="240" w:after="0"/>
      <w:ind w:hanging="0" w:start="720" w:end="360"/>
    </w:pPr>
    <w:rPr/>
  </w:style>
  <w:style w:type="paragraph" w:styleId="Quote2">
    <w:name w:val="Quote 2"/>
    <w:basedOn w:val="Quote1"/>
    <w:next w:val="Heading2Text"/>
    <w:qFormat/>
    <w:pPr/>
    <w:rPr/>
  </w:style>
  <w:style w:type="paragraph" w:styleId="Quote3">
    <w:name w:val="Quote 3"/>
    <w:basedOn w:val="Quote1"/>
    <w:next w:val="heading3Text"/>
    <w:qFormat/>
    <w:pPr>
      <w:ind w:hanging="0" w:start="1440" w:end="360"/>
    </w:pPr>
    <w:rPr/>
  </w:style>
  <w:style w:type="paragraph" w:styleId="header2">
    <w:name w:val="header2"/>
    <w:basedOn w:val="Normal"/>
    <w:qFormat/>
    <w:pPr>
      <w:tabs>
        <w:tab w:val="clear" w:pos="360"/>
        <w:tab w:val="center" w:pos="4320" w:leader="none"/>
        <w:tab w:val="center" w:pos="8640" w:leader="none"/>
      </w:tabs>
      <w:spacing w:lineRule="atLeast" w:line="240"/>
    </w:pPr>
    <w:rPr>
      <w:u w:val="single"/>
    </w:rPr>
  </w:style>
  <w:style w:type="paragraph" w:styleId="ListBullet">
    <w:name w:val="List Bullet"/>
    <w:basedOn w:val="Normal"/>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tabs>
        <w:tab w:val="clear" w:pos="360"/>
        <w:tab w:val="left" w:pos="990" w:leader="none"/>
      </w:tabs>
      <w:ind w:hanging="720" w:start="3600" w:end="0"/>
    </w:pPr>
    <w:rPr/>
  </w:style>
  <w:style w:type="paragraph" w:styleId="Quote4">
    <w:name w:val="Quote 4"/>
    <w:basedOn w:val="Quote3"/>
    <w:next w:val="heading4Text"/>
    <w:qFormat/>
    <w:pPr>
      <w:ind w:hanging="0" w:start="2160" w:end="360"/>
    </w:pPr>
    <w:rPr/>
  </w:style>
  <w:style w:type="paragraph" w:styleId="Quote5">
    <w:name w:val="Quote 5"/>
    <w:basedOn w:val="Quote4"/>
    <w:next w:val="heading5Text"/>
    <w:qFormat/>
    <w:pPr>
      <w:ind w:hanging="0" w:start="2880" w:end="360"/>
    </w:pPr>
    <w:rPr/>
  </w:style>
  <w:style w:type="paragraph" w:styleId="QuoteFootnote">
    <w:name w:val="Quote Footnote"/>
    <w:basedOn w:val="Normal"/>
    <w:next w:val="FootnoteText"/>
    <w:qFormat/>
    <w:pPr>
      <w:spacing w:lineRule="atLeast" w:line="240"/>
      <w:ind w:hanging="0" w:start="1440" w:end="0"/>
    </w:pPr>
    <w:rPr/>
  </w:style>
  <w:style w:type="paragraph" w:styleId="FootnoteText">
    <w:name w:val="footnote text"/>
    <w:basedOn w:val="Normal"/>
    <w:pPr>
      <w:spacing w:lineRule="atLeast" w:line="240" w:before="0" w:after="120"/>
      <w:ind w:hanging="360" w:start="360" w:end="0"/>
    </w:pPr>
    <w:rPr>
      <w:sz w:val="20"/>
    </w:rPr>
  </w:style>
  <w:style w:type="paragraph" w:styleId="LetterText">
    <w:name w:val="Letter Text"/>
    <w:basedOn w:val="Heading1Text"/>
    <w:qFormat/>
    <w:pPr>
      <w:spacing w:lineRule="atLeast" w:line="240"/>
    </w:pPr>
    <w:rPr/>
  </w:style>
  <w:style w:type="paragraph" w:styleId="footnoteseparator">
    <w:name w:val="footnote separator"/>
    <w:basedOn w:val="Normal"/>
    <w:qFormat/>
    <w:pPr>
      <w:spacing w:lineRule="exact" w:line="240"/>
    </w:pPr>
    <w:rPr/>
  </w:style>
  <w:style w:type="paragraph" w:styleId="List6">
    <w:name w:val="List 6"/>
    <w:basedOn w:val="ListBullet5"/>
    <w:qFormat/>
    <w:pPr>
      <w:ind w:hanging="720" w:start="4320" w:end="0"/>
    </w:pPr>
    <w:rPr/>
  </w:style>
  <w:style w:type="paragraph" w:styleId="Heading8Text">
    <w:name w:val="Heading 8 Text"/>
    <w:basedOn w:val="Heading1Text"/>
    <w:qFormat/>
    <w:pPr>
      <w:ind w:firstLine="5040" w:start="0" w:end="0"/>
    </w:pPr>
    <w:rPr/>
  </w:style>
  <w:style w:type="paragraph" w:styleId="Box">
    <w:name w:val="Box"/>
    <w:basedOn w:val="Normal"/>
    <w:qFormat/>
    <w:pPr>
      <w:spacing w:lineRule="auto" w:line="240"/>
      <w:jc w:val="center"/>
    </w:pPr>
    <w:rPr>
      <w:b/>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5040" w:leader="none"/>
        <w:tab w:val="right" w:pos="10080" w:leader="none"/>
      </w:tabs>
      <w:spacing w:lineRule="atLeast" w:line="240" w:before="0" w:after="240"/>
      <w:jc w:val="center"/>
    </w:pPr>
    <w:rPr>
      <w:b/>
    </w:rPr>
  </w:style>
  <w:style w:type="paragraph" w:styleId="rightrule">
    <w:name w:val="right rule"/>
    <w:basedOn w:val="Header"/>
    <w:qFormat/>
    <w:pPr/>
    <w:rPr>
      <w:b w:val="false"/>
    </w:rPr>
  </w:style>
  <w:style w:type="paragraph" w:styleId="NormalBlock">
    <w:name w:val="Normal Block"/>
    <w:basedOn w:val="Normal"/>
    <w:qFormat/>
    <w:pPr>
      <w:spacing w:lineRule="atLeast" w:line="240"/>
    </w:pPr>
    <w:rPr/>
  </w:style>
  <w:style w:type="paragraph" w:styleId="LeftRule">
    <w:name w:val="Left Rule"/>
    <w:basedOn w:val="Normal"/>
    <w:qFormat/>
    <w:pPr>
      <w:pBdr>
        <w:right w:val="single" w:sz="12" w:space="0" w:color="000000"/>
      </w:pBdr>
      <w:spacing w:lineRule="exact" w:line="14400"/>
    </w:pPr>
    <w:rPr/>
  </w:style>
  <w:style w:type="paragraph" w:styleId="TOCHeading">
    <w:name w:val="TOC Heading"/>
    <w:basedOn w:val="Normal"/>
    <w:next w:val="TOC1"/>
    <w:qFormat/>
    <w:pPr>
      <w:tabs>
        <w:tab w:val="clear" w:pos="360"/>
        <w:tab w:val="left" w:pos="1440" w:leader="none"/>
        <w:tab w:val="center" w:pos="4680" w:leader="none"/>
        <w:tab w:val="left" w:pos="7920" w:leader="none"/>
        <w:tab w:val="right" w:pos="9360" w:leader="none"/>
      </w:tabs>
      <w:spacing w:lineRule="atLeast" w:line="240" w:before="240" w:after="0"/>
    </w:pPr>
    <w:rPr>
      <w:u w:val="single"/>
    </w:rPr>
  </w:style>
  <w:style w:type="paragraph" w:styleId="TOC1">
    <w:name w:val="toc 1"/>
    <w:basedOn w:val="Normal"/>
    <w:pPr>
      <w:keepLines/>
      <w:suppressLineNumbers/>
      <w:tabs>
        <w:tab w:val="clear" w:pos="360"/>
        <w:tab w:val="right" w:pos="8280" w:leader="dot"/>
        <w:tab w:val="left" w:pos="8712" w:leader="none"/>
      </w:tabs>
      <w:spacing w:lineRule="auto" w:line="240" w:before="240" w:after="0"/>
      <w:ind w:hanging="720" w:start="720" w:end="2880"/>
    </w:pPr>
    <w:rPr/>
  </w:style>
  <w:style w:type="paragraph" w:styleId="SCETitle">
    <w:name w:val="SCE Title"/>
    <w:basedOn w:val="Normal"/>
    <w:qFormat/>
    <w:pPr>
      <w:spacing w:lineRule="atLeast" w:line="240"/>
      <w:ind w:hanging="0" w:start="0" w:end="-1440"/>
      <w:jc w:val="center"/>
    </w:pPr>
    <w:rPr>
      <w:b/>
      <w:sz w:val="28"/>
    </w:rPr>
  </w:style>
  <w:style w:type="paragraph" w:styleId="TOCTitle">
    <w:name w:val="TOC Title"/>
    <w:basedOn w:val="Normal"/>
    <w:qFormat/>
    <w:pPr>
      <w:keepNext w:val="true"/>
      <w:keepLines/>
      <w:spacing w:lineRule="auto" w:line="240" w:before="120" w:after="120"/>
      <w:jc w:val="center"/>
    </w:pPr>
    <w:rPr>
      <w:b/>
      <w:sz w:val="28"/>
    </w:rPr>
  </w:style>
  <w:style w:type="paragraph" w:styleId="ChapterTitle">
    <w:name w:val="Chapter Title"/>
    <w:basedOn w:val="Normal"/>
    <w:qFormat/>
    <w:pPr>
      <w:spacing w:lineRule="atLeast" w:line="240" w:before="240" w:after="480"/>
      <w:jc w:val="center"/>
    </w:pPr>
    <w:rPr>
      <w:b/>
      <w:sz w:val="28"/>
    </w:rPr>
  </w:style>
  <w:style w:type="paragraph" w:styleId="Interogatory">
    <w:name w:val="Interogatory"/>
    <w:basedOn w:val="Normal"/>
    <w:qFormat/>
    <w:pPr>
      <w:spacing w:lineRule="atLeast" w:line="240"/>
    </w:pPr>
    <w:rPr>
      <w:b/>
      <w:u w:val="single"/>
    </w:rPr>
  </w:style>
  <w:style w:type="paragraph" w:styleId="CHAPTER">
    <w:name w:val="CHAPTER"/>
    <w:basedOn w:val="Normal"/>
    <w:next w:val="Normal"/>
    <w:qFormat/>
    <w:pPr>
      <w:keepNext w:val="true"/>
      <w:keepLines/>
    </w:pPr>
    <w:rPr>
      <w:b/>
      <w:color w:val="0000FF"/>
    </w:rPr>
  </w:style>
  <w:style w:type="paragraph" w:styleId="EXHIBITHEAD">
    <w:name w:val="EXHIBITHEAD"/>
    <w:basedOn w:val="Heading1"/>
    <w:qFormat/>
    <w:pPr>
      <w:numPr>
        <w:ilvl w:val="0"/>
        <w:numId w:val="2"/>
      </w:numPr>
      <w:outlineLvl w:val="9"/>
    </w:pPr>
    <w:rPr/>
  </w:style>
  <w:style w:type="paragraph" w:styleId="Text">
    <w:name w:val="Text"/>
    <w:basedOn w:val="Normal"/>
    <w:qFormat/>
    <w:pPr>
      <w:spacing w:before="360" w:after="0"/>
      <w:ind w:hanging="0" w:start="360" w:end="0"/>
      <w:jc w:val="both"/>
    </w:pPr>
    <w:rPr/>
  </w:style>
  <w:style w:type="paragraph" w:styleId="List7">
    <w:name w:val="List 7"/>
    <w:basedOn w:val="List6"/>
    <w:qFormat/>
    <w:pPr>
      <w:ind w:hanging="720" w:start="5040" w:end="0"/>
    </w:pPr>
    <w:rPr/>
  </w:style>
  <w:style w:type="paragraph" w:styleId="Heading9Text">
    <w:name w:val="Heading 9 Text"/>
    <w:basedOn w:val="Heading1Text"/>
    <w:qFormat/>
    <w:pPr>
      <w:ind w:firstLine="5760" w:start="0" w:end="0"/>
    </w:pPr>
    <w:rPr/>
  </w:style>
  <w:style w:type="paragraph" w:styleId="Quote6">
    <w:name w:val="Quote 6"/>
    <w:basedOn w:val="Quote1"/>
    <w:next w:val="heading6Text"/>
    <w:qFormat/>
    <w:pPr>
      <w:ind w:hanging="0" w:start="3600" w:end="360"/>
      <w:jc w:val="both"/>
    </w:pPr>
    <w:rPr/>
  </w:style>
  <w:style w:type="paragraph" w:styleId="Quote7">
    <w:name w:val="Quote 7"/>
    <w:basedOn w:val="Quote1"/>
    <w:next w:val="Heading7Text"/>
    <w:qFormat/>
    <w:pPr>
      <w:ind w:hanging="0" w:start="4320" w:end="360"/>
      <w:jc w:val="both"/>
    </w:pPr>
    <w:rPr/>
  </w:style>
  <w:style w:type="paragraph" w:styleId="TC">
    <w:name w:val="T/C"/>
    <w:basedOn w:val="TOC1"/>
    <w:qFormat/>
    <w:pPr>
      <w:tabs>
        <w:tab w:val="left" w:pos="720" w:leader="none"/>
        <w:tab w:val="left" w:pos="1080" w:leader="none"/>
        <w:tab w:val="left" w:pos="7920" w:leader="dot"/>
        <w:tab w:val="right" w:pos="8280" w:leader="dot"/>
        <w:tab w:val="decimal" w:pos="8640" w:leader="none"/>
        <w:tab w:val="left" w:pos="8712" w:leader="none"/>
      </w:tabs>
      <w:ind w:hanging="720" w:start="720" w:end="1440"/>
    </w:pPr>
    <w:rPr>
      <w:rFonts w:ascii="Times" w:hAnsi="Times" w:cs="Times"/>
      <w:caps/>
    </w:rPr>
  </w:style>
  <w:style w:type="paragraph" w:styleId="List8">
    <w:name w:val="List 8"/>
    <w:basedOn w:val="List7"/>
    <w:qFormat/>
    <w:pPr>
      <w:ind w:hanging="720" w:start="3240" w:end="0"/>
    </w:pPr>
    <w:rPr/>
  </w:style>
  <w:style w:type="paragraph" w:styleId="List9">
    <w:name w:val="List 9"/>
    <w:basedOn w:val="ListBullet5"/>
    <w:qFormat/>
    <w:pPr/>
    <w:rPr/>
  </w:style>
  <w:style w:type="paragraph" w:styleId="Quote">
    <w:name w:val="Quote"/>
    <w:basedOn w:val="Normal"/>
    <w:next w:val="Normal"/>
    <w:qFormat/>
    <w:pPr>
      <w:spacing w:lineRule="exact" w:line="360" w:before="240" w:after="120"/>
      <w:ind w:firstLine="1440" w:start="1440" w:end="1440"/>
      <w:jc w:val="both"/>
    </w:pPr>
    <w:rPr/>
  </w:style>
  <w:style w:type="paragraph" w:styleId="TOCtable">
    <w:name w:val="TOCtable"/>
    <w:basedOn w:val="Normal"/>
    <w:qFormat/>
    <w:pPr>
      <w:shd w:fill="000000" w:val="clear"/>
      <w:spacing w:lineRule="atLeast" w:line="240"/>
      <w:jc w:val="center"/>
    </w:pPr>
    <w:rPr>
      <w:b/>
      <w:color w:val="FFFFFF"/>
    </w:rPr>
  </w:style>
  <w:style w:type="paragraph" w:styleId="TOCcontinued">
    <w:name w:val="TOCcontinued"/>
    <w:basedOn w:val="Normal"/>
    <w:qFormat/>
    <w:pPr>
      <w:spacing w:lineRule="atLeast" w:line="240" w:before="0" w:after="120"/>
      <w:jc w:val="center"/>
    </w:pPr>
    <w:rPr>
      <w:sz w:val="28"/>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u w:val="single"/>
    </w:rPr>
  </w:style>
  <w:style w:type="paragraph" w:styleId="Interrogatory1">
    <w:name w:val="Interrogatory 1"/>
    <w:basedOn w:val="Normal"/>
    <w:next w:val="Normal"/>
    <w:qFormat/>
    <w:pPr>
      <w:keepNext w:val="true"/>
      <w:keepLines/>
      <w:spacing w:lineRule="exact" w:line="480"/>
    </w:pPr>
    <w:rPr>
      <w:b/>
      <w:u w:val="single"/>
    </w:rPr>
  </w:style>
  <w:style w:type="paragraph" w:styleId="Title2">
    <w:name w:val="Title2"/>
    <w:basedOn w:val="Normal"/>
    <w:qFormat/>
    <w:pPr>
      <w:spacing w:lineRule="atLeast" w:line="240" w:before="120" w:after="120"/>
      <w:jc w:val="center"/>
    </w:pPr>
    <w:rPr>
      <w:b/>
      <w:sz w:val="28"/>
    </w:rPr>
  </w:style>
  <w:style w:type="paragraph" w:styleId="TOC9">
    <w:name w:val="toc 9"/>
    <w:basedOn w:val="TOC1"/>
    <w:next w:val="Normal"/>
    <w:pPr>
      <w:ind w:hanging="720" w:start="6480" w:end="2880"/>
    </w:pPr>
    <w:rPr/>
  </w:style>
  <w:style w:type="paragraph" w:styleId="CommentText">
    <w:name w:val="Comment Text"/>
    <w:basedOn w:val="Normal"/>
    <w:qFormat/>
    <w:pPr>
      <w:jc w:val="end"/>
    </w:pPr>
    <w:rPr>
      <w:sz w:val="20"/>
    </w:rPr>
  </w:style>
  <w:style w:type="paragraph" w:styleId="TOC8">
    <w:name w:val="toc 8"/>
    <w:basedOn w:val="TOC1"/>
    <w:next w:val="Normal"/>
    <w:pPr>
      <w:ind w:hanging="720" w:start="5760" w:end="2880"/>
    </w:pPr>
    <w:rPr/>
  </w:style>
  <w:style w:type="paragraph" w:styleId="TOC7">
    <w:name w:val="toc 7"/>
    <w:basedOn w:val="TOC1"/>
    <w:pPr>
      <w:ind w:hanging="720" w:start="5040" w:end="2880"/>
    </w:pPr>
    <w:rPr/>
  </w:style>
  <w:style w:type="paragraph" w:styleId="TOC6">
    <w:name w:val="toc 6"/>
    <w:basedOn w:val="TOC1"/>
    <w:pPr>
      <w:ind w:hanging="720" w:start="4320" w:end="2880"/>
    </w:pPr>
    <w:rPr/>
  </w:style>
  <w:style w:type="paragraph" w:styleId="TOC5">
    <w:name w:val="toc 5"/>
    <w:basedOn w:val="TOC1"/>
    <w:pPr>
      <w:ind w:hanging="720" w:start="3600" w:end="2880"/>
    </w:pPr>
    <w:rPr/>
  </w:style>
  <w:style w:type="paragraph" w:styleId="TOC4">
    <w:name w:val="toc 4"/>
    <w:basedOn w:val="TOC1"/>
    <w:pPr>
      <w:ind w:hanging="720" w:start="2880" w:end="2880"/>
    </w:pPr>
    <w:rPr/>
  </w:style>
  <w:style w:type="paragraph" w:styleId="TOC3">
    <w:name w:val="toc 3"/>
    <w:basedOn w:val="TOC1"/>
    <w:pPr>
      <w:ind w:hanging="720" w:start="2160" w:end="2880"/>
    </w:pPr>
    <w:rPr/>
  </w:style>
  <w:style w:type="paragraph" w:styleId="TOC2">
    <w:name w:val="toc 2"/>
    <w:basedOn w:val="TOC1"/>
    <w:pPr>
      <w:ind w:hanging="720" w:start="1440" w:end="2880"/>
    </w:pPr>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tabs>
        <w:tab w:val="clear" w:pos="360"/>
        <w:tab w:val="left" w:pos="720" w:leader="none"/>
        <w:tab w:val="right" w:pos="8640" w:leader="dot"/>
      </w:tabs>
      <w:spacing w:lineRule="exact" w:line="240"/>
      <w:ind w:hanging="0" w:start="360" w:end="1440"/>
    </w:pPr>
    <w:rPr/>
  </w:style>
  <w:style w:type="paragraph" w:styleId="Index2">
    <w:name w:val="index 2"/>
    <w:basedOn w:val="Normal"/>
    <w:next w:val="Normal"/>
    <w:pPr>
      <w:keepLines/>
      <w:tabs>
        <w:tab w:val="clear" w:pos="360"/>
        <w:tab w:val="right" w:pos="8640" w:leader="dot"/>
      </w:tabs>
      <w:spacing w:lineRule="exact" w:line="240" w:before="240" w:after="0"/>
      <w:ind w:hanging="360" w:start="360" w:end="1440"/>
    </w:pPr>
    <w:rPr/>
  </w:style>
  <w:style w:type="paragraph" w:styleId="Index1">
    <w:name w:val="index 1"/>
    <w:basedOn w:val="Normal"/>
    <w:next w:val="Normal"/>
    <w:pPr>
      <w:keepNext w:val="true"/>
      <w:spacing w:lineRule="exact" w:line="240" w:before="240" w:after="0"/>
      <w:jc w:val="center"/>
    </w:pPr>
    <w:rPr>
      <w:b/>
    </w:rPr>
  </w:style>
  <w:style w:type="paragraph" w:styleId="IndexHeading">
    <w:name w:val="index heading"/>
    <w:basedOn w:val="Normal"/>
    <w:next w:val="Index1"/>
    <w:pPr/>
    <w:rPr/>
  </w:style>
  <w:style w:type="paragraph" w:styleId="Footer">
    <w:name w:val="footer"/>
    <w:basedOn w:val="Normal"/>
    <w:pPr>
      <w:tabs>
        <w:tab w:val="clear" w:pos="360"/>
        <w:tab w:val="center" w:pos="5040" w:leader="none"/>
        <w:tab w:val="right" w:pos="10080" w:leader="none"/>
      </w:tabs>
      <w:spacing w:lineRule="auto" w:line="240"/>
    </w:pPr>
    <w:rPr>
      <w:sz w:val="16"/>
    </w:rPr>
  </w:style>
  <w:style w:type="paragraph" w:styleId="TableofFigures">
    <w:name w:val="Table of Figures"/>
    <w:basedOn w:val="Normal"/>
    <w:next w:val="Normal"/>
    <w:qFormat/>
    <w:pPr>
      <w:suppressLineNumbers/>
      <w:tabs>
        <w:tab w:val="clear" w:pos="360"/>
        <w:tab w:val="right" w:pos="10080" w:leader="dot"/>
      </w:tabs>
      <w:ind w:hanging="360" w:start="360" w:end="1440"/>
    </w:pPr>
    <w:rPr/>
  </w:style>
  <w:style w:type="paragraph" w:styleId="FilingTitle">
    <w:name w:val="Filing Title"/>
    <w:basedOn w:val="Normal"/>
    <w:qFormat/>
    <w:pPr>
      <w:suppressLineNumbers/>
      <w:spacing w:lineRule="auto" w:line="240" w:before="0" w:after="120"/>
      <w:jc w:val="center"/>
    </w:pPr>
    <w:rPr>
      <w:b/>
      <w:sz w:val="32"/>
    </w:rPr>
  </w:style>
  <w:style w:type="paragraph" w:styleId="WW-Caption">
    <w:name w:val="WW-Caption"/>
    <w:basedOn w:val="Normal"/>
    <w:qFormat/>
    <w:pPr>
      <w:keepNext w:val="true"/>
      <w:keepLines/>
      <w:spacing w:before="120" w:after="0"/>
      <w:jc w:val="center"/>
    </w:pPr>
    <w:rPr>
      <w:b/>
      <w:i/>
      <w:sz w:val="26"/>
    </w:rPr>
  </w:style>
  <w:style w:type="paragraph" w:styleId="FigToc1">
    <w:name w:val="FigToc1"/>
    <w:basedOn w:val="Normal"/>
    <w:qFormat/>
    <w:pPr>
      <w:tabs>
        <w:tab w:val="clear" w:pos="360"/>
        <w:tab w:val="right" w:pos="10080" w:leader="hyphen"/>
      </w:tabs>
    </w:pPr>
    <w:rPr/>
  </w:style>
  <w:style w:type="paragraph" w:styleId="TableTitle">
    <w:name w:val="Table Title"/>
    <w:basedOn w:val="Normal"/>
    <w:next w:val="Normal"/>
    <w:qFormat/>
    <w:pPr>
      <w:keepNext w:val="true"/>
      <w:keepLines/>
      <w:suppressLineNumbers/>
      <w:spacing w:before="240" w:after="120"/>
      <w:jc w:val="center"/>
    </w:pPr>
    <w:rPr>
      <w:b/>
      <w:i/>
      <w:sz w:val="26"/>
    </w:rPr>
  </w:style>
  <w:style w:type="paragraph" w:styleId="AppendixTitle">
    <w:name w:val="Appendix Title"/>
    <w:basedOn w:val="Normal"/>
    <w:next w:val="AppendixText"/>
    <w:qFormat/>
    <w:pPr>
      <w:jc w:val="center"/>
    </w:pPr>
    <w:rPr>
      <w:b/>
      <w:sz w:val="26"/>
    </w:rPr>
  </w:style>
  <w:style w:type="paragraph" w:styleId="AppendixText">
    <w:name w:val="Appendix Text"/>
    <w:basedOn w:val="Normal"/>
    <w:qFormat/>
    <w:pPr>
      <w:ind w:firstLine="720" w:start="0" w:end="0"/>
    </w:pPr>
    <w:rPr/>
  </w:style>
  <w:style w:type="paragraph" w:styleId="TOCColumnHeading">
    <w:name w:val="TOC Column Heading"/>
    <w:basedOn w:val="Normal"/>
    <w:qFormat/>
    <w:pPr>
      <w:spacing w:lineRule="auto" w:line="240"/>
      <w:jc w:val="center"/>
    </w:pPr>
    <w:rPr>
      <w:sz w:val="20"/>
    </w:rPr>
  </w:style>
  <w:style w:type="paragraph" w:styleId="FigureTitle">
    <w:name w:val="Figure Title"/>
    <w:basedOn w:val="Normal"/>
    <w:qFormat/>
    <w:pPr>
      <w:keepNext w:val="true"/>
      <w:keepLines/>
      <w:suppressLineNumbers/>
      <w:spacing w:lineRule="auto" w:line="240" w:before="360" w:after="240"/>
      <w:jc w:val="center"/>
    </w:pPr>
    <w:rPr>
      <w:b/>
      <w:i/>
      <w:sz w:val="26"/>
    </w:rPr>
  </w:style>
  <w:style w:type="paragraph" w:styleId="Interrogatory1Text">
    <w:name w:val="Interrogatory 1 Text"/>
    <w:basedOn w:val="Normal"/>
    <w:qFormat/>
    <w:pPr>
      <w:spacing w:lineRule="exact" w:line="480"/>
      <w:ind w:firstLine="720" w:start="0" w:end="0"/>
    </w:pPr>
    <w:rPr/>
  </w:style>
  <w:style w:type="paragraph" w:styleId="Interrogatory2">
    <w:name w:val="Interrogatory 2"/>
    <w:basedOn w:val="Interrogatory1"/>
    <w:next w:val="Normal"/>
    <w:qFormat/>
    <w:pPr/>
    <w:rPr/>
  </w:style>
  <w:style w:type="paragraph" w:styleId="Interrogatory2Text">
    <w:name w:val="Interrogatory 2 Text"/>
    <w:basedOn w:val="Interrogatory1Text"/>
    <w:qFormat/>
    <w:pPr/>
    <w:rPr/>
  </w:style>
  <w:style w:type="paragraph" w:styleId="Interrogatory3">
    <w:name w:val="Interrogatory 3"/>
    <w:basedOn w:val="Interrogatory1"/>
    <w:next w:val="Normal"/>
    <w:qFormat/>
    <w:pPr/>
    <w:rPr/>
  </w:style>
  <w:style w:type="paragraph" w:styleId="Interrogatory3Text">
    <w:name w:val="Interrogatory 3 Text"/>
    <w:basedOn w:val="Interrogatory1Text"/>
    <w:qFormat/>
    <w:pPr/>
    <w:rPr/>
  </w:style>
  <w:style w:type="paragraph" w:styleId="Interrogatory4">
    <w:name w:val="Interrogatory 4"/>
    <w:basedOn w:val="Interrogatory1"/>
    <w:next w:val="Normal"/>
    <w:qFormat/>
    <w:pPr/>
    <w:rPr/>
  </w:style>
  <w:style w:type="paragraph" w:styleId="Interrogatory4Text">
    <w:name w:val="Interrogatory 4 Text"/>
    <w:basedOn w:val="Interrogatory1Text"/>
    <w:qFormat/>
    <w:pPr/>
    <w:rPr/>
  </w:style>
  <w:style w:type="paragraph" w:styleId="Interrogatory5">
    <w:name w:val="Interrogatory 5"/>
    <w:basedOn w:val="Interrogatory1"/>
    <w:next w:val="Normal"/>
    <w:qFormat/>
    <w:pPr/>
    <w:rPr/>
  </w:style>
  <w:style w:type="paragraph" w:styleId="Interrogatory5Text">
    <w:name w:val="Interrogatory 5 Text"/>
    <w:basedOn w:val="Interrogatory1Text"/>
    <w:qFormat/>
    <w:pPr/>
    <w:rPr/>
  </w:style>
  <w:style w:type="paragraph" w:styleId="Interrogatory6">
    <w:name w:val="Interrogatory 6"/>
    <w:basedOn w:val="Interrogatory1"/>
    <w:next w:val="Normal"/>
    <w:qFormat/>
    <w:pPr/>
    <w:rPr/>
  </w:style>
  <w:style w:type="paragraph" w:styleId="Interrogatory6Text">
    <w:name w:val="Interrogatory 6 Text"/>
    <w:basedOn w:val="Interrogatory1Text"/>
    <w:qFormat/>
    <w:pPr/>
    <w:rPr/>
  </w:style>
  <w:style w:type="paragraph" w:styleId="Interrogatory7">
    <w:name w:val="Interrogatory 7"/>
    <w:basedOn w:val="Interrogatory1"/>
    <w:next w:val="Normal"/>
    <w:qFormat/>
    <w:pPr/>
    <w:rPr/>
  </w:style>
  <w:style w:type="paragraph" w:styleId="Interrogatory7Text">
    <w:name w:val="Interrogatory 7 Text"/>
    <w:basedOn w:val="Interrogatory1Text"/>
    <w:qFormat/>
    <w:pPr/>
    <w:rPr/>
  </w:style>
  <w:style w:type="paragraph" w:styleId="Interrogatory8">
    <w:name w:val="Interrogatory 8"/>
    <w:basedOn w:val="Interrogatory1"/>
    <w:next w:val="Normal"/>
    <w:qFormat/>
    <w:pPr/>
    <w:rPr/>
  </w:style>
  <w:style w:type="paragraph" w:styleId="Interrogatory8Text">
    <w:name w:val="Interrogatory 8 Text"/>
    <w:basedOn w:val="Interrogatory1Text"/>
    <w:qFormat/>
    <w:pPr/>
    <w:rPr/>
  </w:style>
  <w:style w:type="paragraph" w:styleId="Heading3Text1">
    <w:name w:val="Heading 3 Text1"/>
    <w:basedOn w:val="Heading2Text"/>
    <w:qFormat/>
    <w:pPr>
      <w:ind w:firstLine="720" w:start="720" w:end="0"/>
    </w:pPr>
    <w:rPr/>
  </w:style>
  <w:style w:type="paragraph" w:styleId="Quote9">
    <w:name w:val="Quote 9"/>
    <w:basedOn w:val="Quote2"/>
    <w:qFormat/>
    <w:pPr>
      <w:keepLines w:val="false"/>
      <w:spacing w:lineRule="auto" w:line="240"/>
      <w:ind w:hanging="0" w:start="4320" w:end="43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image" Target="media/image9.wmf"/><Relationship Id="rId15" Type="http://schemas.openxmlformats.org/officeDocument/2006/relationships/image" Target="media/image10.wmf"/><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Testimony.DOT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2001-06-21T00:05:00Z</dcterms:created>
  <dc:creator>foxba</dc:creator>
  <dc:description/>
  <dc:language>en-CA</dc:language>
  <cp:lastModifiedBy>Tonya Hunter</cp:lastModifiedBy>
  <cp:lastPrinted>2001-06-20T19:15:00Z</cp:lastPrinted>
  <dcterms:modified xsi:type="dcterms:W3CDTF">2001-06-21T00:06:00Z</dcterms:modified>
  <cp:revision>3</cp:revision>
  <dc:subject>€‚3ƒPriest, Yvonne A.„PRIESTYA…YAP†818 302-3774‡AdministratorsˆDepartment Administration‰Law DepartmentŠ</dc:subject>
  <dc:title>SCE ECAC Testimony</dc:title>
</cp:coreProperties>
</file>