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-139065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Rick Buy, John Lavorato, Louise Kitchen, Ted Murphy, David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Port, Cassandra Schultz, Jeff Skilling, 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June 20,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June 19,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North America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$86.00 Million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$110.20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  <w:tab/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/>
      </w:pPr>
      <w:r>
        <w:rPr>
          <w:b/>
          <w:bCs/>
          <w:color w:val="000000"/>
          <w:sz w:val="20"/>
          <w:szCs w:val="20"/>
        </w:rPr>
        <w:tab/>
        <w:tab/>
      </w:r>
      <w:r>
        <w:rPr>
          <w:color w:val="000000"/>
          <w:sz w:val="20"/>
          <w:szCs w:val="20"/>
        </w:rPr>
        <w:t xml:space="preserve">Large short positions continued to drive the VaR violation.  Prices increased $.04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on the NYMEX and was mixed in the cash markets.  The Gas desk increased their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short positions which increased VaR by $10 million from the previous trading day.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</w:t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2001-06-20T13:00:00Z</dcterms:created>
  <dc:creator>kthibode</dc:creator>
  <dc:description/>
  <dc:language>en-CA</dc:language>
  <cp:lastModifiedBy>kthibode</cp:lastModifiedBy>
  <dcterms:modified xsi:type="dcterms:W3CDTF">2001-06-20T18:00:00Z</dcterms:modified>
  <cp:revision>4</cp:revision>
  <dc:subject/>
  <dc:title/>
</cp:coreProperties>
</file>