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8909" w:type="dxa"/>
        <w:jc w:val="start"/>
        <w:tblInd w:w="200" w:type="dxa"/>
        <w:tblLayout w:type="fixed"/>
        <w:tblCellMar>
          <w:top w:w="0" w:type="dxa"/>
          <w:start w:w="108" w:type="dxa"/>
          <w:bottom w:w="0" w:type="dxa"/>
          <w:end w:w="108" w:type="dxa"/>
        </w:tblCellMar>
      </w:tblPr>
      <w:tblGrid>
        <w:gridCol w:w="898"/>
        <w:gridCol w:w="4142"/>
        <w:gridCol w:w="1409"/>
        <w:gridCol w:w="2460"/>
      </w:tblGrid>
      <w:tr>
        <w:trPr>
          <w:trHeight w:val="300" w:hRule="exact"/>
        </w:trPr>
        <w:tc>
          <w:tcPr>
            <w:tcW w:w="898" w:type="dxa"/>
            <w:tcBorders/>
          </w:tcPr>
          <w:p>
            <w:pPr>
              <w:pStyle w:val="Normal"/>
              <w:ind w:start="-180" w:end="0"/>
              <w:jc w:val="end"/>
              <w:rPr>
                <w:rFonts w:ascii="Arial" w:hAnsi="Arial" w:cs="Arial"/>
              </w:rPr>
            </w:pPr>
            <w:r>
              <w:rPr>
                <w:rFonts w:cs="Arial" w:ascii="Arial" w:hAnsi="Arial"/>
              </w:rPr>
              <w:t>To:</w:t>
            </w:r>
          </w:p>
        </w:tc>
        <w:tc>
          <w:tcPr>
            <w:tcW w:w="4142" w:type="dxa"/>
            <w:tcBorders/>
          </w:tcPr>
          <w:p>
            <w:pPr>
              <w:pStyle w:val="To"/>
              <w:rPr/>
            </w:pPr>
            <w:bookmarkStart w:id="0" w:name="to"/>
            <w:bookmarkEnd w:id="0"/>
            <w:r>
              <w:rPr/>
              <w:t>Distribution</w:t>
            </w:r>
          </w:p>
        </w:tc>
        <w:tc>
          <w:tcPr>
            <w:tcW w:w="1409" w:type="dxa"/>
            <w:tcBorders/>
          </w:tcPr>
          <w:p>
            <w:pPr>
              <w:pStyle w:val="Normal"/>
              <w:snapToGrid w:val="false"/>
              <w:ind w:start="-180" w:end="0"/>
              <w:rPr>
                <w:rFonts w:ascii="Arial" w:hAnsi="Arial" w:cs="Arial"/>
              </w:rPr>
            </w:pPr>
            <w:r>
              <w:rPr>
                <w:rFonts w:cs="Arial" w:ascii="Arial" w:hAnsi="Arial"/>
              </w:rPr>
            </w:r>
          </w:p>
        </w:tc>
        <w:tc>
          <w:tcPr>
            <w:tcW w:w="2460" w:type="dxa"/>
            <w:tcBorders/>
          </w:tcPr>
          <w:p>
            <w:pPr>
              <w:pStyle w:val="Normal"/>
              <w:snapToGrid w:val="false"/>
              <w:rPr>
                <w:rFonts w:ascii="Arial" w:hAnsi="Arial" w:cs="Arial"/>
                <w:sz w:val="24"/>
              </w:rPr>
            </w:pPr>
            <w:r>
              <w:rPr>
                <w:rFonts w:cs="Arial" w:ascii="Arial" w:hAnsi="Arial"/>
                <w:sz w:val="24"/>
              </w:rPr>
            </w:r>
          </w:p>
        </w:tc>
      </w:tr>
      <w:tr>
        <w:trPr>
          <w:trHeight w:val="216" w:hRule="exact"/>
        </w:trPr>
        <w:tc>
          <w:tcPr>
            <w:tcW w:w="898" w:type="dxa"/>
            <w:tcBorders/>
          </w:tcPr>
          <w:p>
            <w:pPr>
              <w:pStyle w:val="Normal"/>
              <w:snapToGrid w:val="false"/>
              <w:ind w:start="-180" w:end="0"/>
              <w:jc w:val="end"/>
              <w:rPr>
                <w:rFonts w:ascii="Arial" w:hAnsi="Arial" w:cs="Arial"/>
                <w:sz w:val="24"/>
              </w:rPr>
            </w:pPr>
            <w:r>
              <w:rPr>
                <w:rFonts w:cs="Arial" w:ascii="Arial" w:hAnsi="Arial"/>
                <w:sz w:val="24"/>
              </w:rPr>
            </w:r>
          </w:p>
        </w:tc>
        <w:tc>
          <w:tcPr>
            <w:tcW w:w="4142" w:type="dxa"/>
            <w:tcBorders/>
          </w:tcPr>
          <w:p>
            <w:pPr>
              <w:pStyle w:val="Normal"/>
              <w:snapToGrid w:val="false"/>
              <w:rPr>
                <w:rFonts w:ascii="Arial" w:hAnsi="Arial" w:cs="Arial"/>
                <w:sz w:val="24"/>
              </w:rPr>
            </w:pPr>
            <w:r>
              <w:rPr>
                <w:rFonts w:cs="Arial" w:ascii="Arial" w:hAnsi="Arial"/>
                <w:sz w:val="24"/>
              </w:rPr>
            </w:r>
          </w:p>
        </w:tc>
        <w:tc>
          <w:tcPr>
            <w:tcW w:w="1409" w:type="dxa"/>
            <w:tcBorders/>
          </w:tcPr>
          <w:p>
            <w:pPr>
              <w:pStyle w:val="Normal"/>
              <w:snapToGrid w:val="false"/>
              <w:ind w:start="-180" w:end="0"/>
              <w:rPr>
                <w:rFonts w:ascii="Arial" w:hAnsi="Arial" w:cs="Arial"/>
                <w:sz w:val="24"/>
              </w:rPr>
            </w:pPr>
            <w:r>
              <w:rPr>
                <w:rFonts w:cs="Arial" w:ascii="Arial" w:hAnsi="Arial"/>
                <w:sz w:val="24"/>
              </w:rPr>
            </w:r>
          </w:p>
        </w:tc>
        <w:tc>
          <w:tcPr>
            <w:tcW w:w="2460" w:type="dxa"/>
            <w:tcBorders/>
          </w:tcPr>
          <w:p>
            <w:pPr>
              <w:pStyle w:val="Normal"/>
              <w:snapToGrid w:val="false"/>
              <w:rPr>
                <w:rFonts w:ascii="Arial" w:hAnsi="Arial" w:cs="Arial"/>
                <w:sz w:val="24"/>
              </w:rPr>
            </w:pPr>
            <w:r>
              <w:rPr>
                <w:rFonts w:cs="Arial" w:ascii="Arial" w:hAnsi="Arial"/>
                <w:sz w:val="24"/>
              </w:rPr>
            </w:r>
          </w:p>
        </w:tc>
      </w:tr>
      <w:tr>
        <w:trPr>
          <w:trHeight w:val="300" w:hRule="exact"/>
        </w:trPr>
        <w:tc>
          <w:tcPr>
            <w:tcW w:w="898" w:type="dxa"/>
            <w:tcBorders/>
          </w:tcPr>
          <w:p>
            <w:pPr>
              <w:pStyle w:val="Normal"/>
              <w:ind w:start="-180" w:end="0"/>
              <w:jc w:val="end"/>
              <w:rPr>
                <w:rFonts w:ascii="Arial" w:hAnsi="Arial" w:cs="Arial"/>
              </w:rPr>
            </w:pPr>
            <w:r>
              <w:rPr>
                <w:rFonts w:cs="Arial" w:ascii="Arial" w:hAnsi="Arial"/>
              </w:rPr>
              <w:t>From:</w:t>
            </w:r>
          </w:p>
        </w:tc>
        <w:tc>
          <w:tcPr>
            <w:tcW w:w="4142" w:type="dxa"/>
            <w:tcBorders/>
          </w:tcPr>
          <w:p>
            <w:pPr>
              <w:pStyle w:val="From"/>
              <w:rPr/>
            </w:pPr>
            <w:r>
              <w:rPr/>
              <w:t>Ted Bland</w:t>
            </w:r>
          </w:p>
        </w:tc>
        <w:tc>
          <w:tcPr>
            <w:tcW w:w="1409" w:type="dxa"/>
            <w:tcBorders/>
          </w:tcPr>
          <w:p>
            <w:pPr>
              <w:pStyle w:val="Normal"/>
              <w:ind w:start="-180" w:end="0"/>
              <w:jc w:val="end"/>
              <w:rPr>
                <w:rFonts w:ascii="Arial" w:hAnsi="Arial" w:cs="Arial"/>
              </w:rPr>
            </w:pPr>
            <w:r>
              <w:rPr>
                <w:rFonts w:cs="Arial" w:ascii="Arial" w:hAnsi="Arial"/>
              </w:rPr>
              <w:t>Department:</w:t>
            </w:r>
          </w:p>
        </w:tc>
        <w:tc>
          <w:tcPr>
            <w:tcW w:w="2460" w:type="dxa"/>
            <w:tcBorders/>
          </w:tcPr>
          <w:p>
            <w:pPr>
              <w:pStyle w:val="Department"/>
              <w:rPr/>
            </w:pPr>
            <w:bookmarkStart w:id="1" w:name="From"/>
            <w:bookmarkEnd w:id="1"/>
            <w:r>
              <w:rPr/>
              <w:t>A&amp;A Department</w:t>
            </w:r>
          </w:p>
        </w:tc>
      </w:tr>
      <w:tr>
        <w:trPr>
          <w:trHeight w:val="216" w:hRule="exact"/>
        </w:trPr>
        <w:tc>
          <w:tcPr>
            <w:tcW w:w="898" w:type="dxa"/>
            <w:tcBorders/>
          </w:tcPr>
          <w:p>
            <w:pPr>
              <w:pStyle w:val="Normal"/>
              <w:snapToGrid w:val="false"/>
              <w:ind w:start="-180" w:end="0"/>
              <w:jc w:val="end"/>
              <w:rPr>
                <w:rFonts w:ascii="Arial" w:hAnsi="Arial" w:cs="Arial"/>
              </w:rPr>
            </w:pPr>
            <w:r>
              <w:rPr>
                <w:rFonts w:cs="Arial" w:ascii="Arial" w:hAnsi="Arial"/>
              </w:rPr>
            </w:r>
          </w:p>
        </w:tc>
        <w:tc>
          <w:tcPr>
            <w:tcW w:w="4142" w:type="dxa"/>
            <w:tcBorders/>
          </w:tcPr>
          <w:p>
            <w:pPr>
              <w:pStyle w:val="Normal"/>
              <w:snapToGrid w:val="false"/>
              <w:rPr>
                <w:rFonts w:ascii="Arial" w:hAnsi="Arial" w:cs="Arial"/>
                <w:sz w:val="24"/>
              </w:rPr>
            </w:pPr>
            <w:r>
              <w:rPr>
                <w:rFonts w:cs="Arial" w:ascii="Arial" w:hAnsi="Arial"/>
                <w:sz w:val="24"/>
              </w:rPr>
            </w:r>
          </w:p>
        </w:tc>
        <w:tc>
          <w:tcPr>
            <w:tcW w:w="1409" w:type="dxa"/>
            <w:tcBorders/>
          </w:tcPr>
          <w:p>
            <w:pPr>
              <w:pStyle w:val="Normal"/>
              <w:snapToGrid w:val="false"/>
              <w:ind w:start="-180" w:end="0"/>
              <w:rPr>
                <w:rFonts w:ascii="Arial" w:hAnsi="Arial" w:cs="Arial"/>
                <w:sz w:val="24"/>
              </w:rPr>
            </w:pPr>
            <w:r>
              <w:rPr>
                <w:rFonts w:cs="Arial" w:ascii="Arial" w:hAnsi="Arial"/>
                <w:sz w:val="24"/>
              </w:rPr>
            </w:r>
          </w:p>
        </w:tc>
        <w:tc>
          <w:tcPr>
            <w:tcW w:w="2460" w:type="dxa"/>
            <w:tcBorders/>
          </w:tcPr>
          <w:p>
            <w:pPr>
              <w:pStyle w:val="Normal"/>
              <w:snapToGrid w:val="false"/>
              <w:rPr>
                <w:rFonts w:ascii="Arial" w:hAnsi="Arial" w:cs="Arial"/>
                <w:sz w:val="24"/>
              </w:rPr>
            </w:pPr>
            <w:r>
              <w:rPr>
                <w:rFonts w:cs="Arial" w:ascii="Arial" w:hAnsi="Arial"/>
                <w:sz w:val="24"/>
              </w:rPr>
            </w:r>
          </w:p>
        </w:tc>
      </w:tr>
      <w:tr>
        <w:trPr>
          <w:trHeight w:val="600" w:hRule="exact"/>
        </w:trPr>
        <w:tc>
          <w:tcPr>
            <w:tcW w:w="898" w:type="dxa"/>
            <w:tcBorders>
              <w:bottom w:val="single" w:sz="18" w:space="0" w:color="000000"/>
            </w:tcBorders>
          </w:tcPr>
          <w:p>
            <w:pPr>
              <w:pStyle w:val="Normal"/>
              <w:ind w:start="-180" w:end="0"/>
              <w:jc w:val="end"/>
              <w:rPr>
                <w:rFonts w:ascii="Arial" w:hAnsi="Arial" w:cs="Arial"/>
              </w:rPr>
            </w:pPr>
            <w:r>
              <w:rPr>
                <w:rFonts w:cs="Arial" w:ascii="Arial" w:hAnsi="Arial"/>
              </w:rPr>
              <w:t>Subject:</w:t>
            </w:r>
          </w:p>
        </w:tc>
        <w:tc>
          <w:tcPr>
            <w:tcW w:w="4142" w:type="dxa"/>
            <w:tcBorders>
              <w:bottom w:val="single" w:sz="18" w:space="0" w:color="000000"/>
            </w:tcBorders>
          </w:tcPr>
          <w:p>
            <w:pPr>
              <w:pStyle w:val="Subject"/>
              <w:rPr>
                <w:sz w:val="24"/>
              </w:rPr>
            </w:pPr>
            <w:bookmarkStart w:id="2" w:name="Subject"/>
            <w:bookmarkEnd w:id="2"/>
            <w:r>
              <w:rPr>
                <w:rFonts w:cs="Arial"/>
                <w:b/>
                <w:bCs/>
              </w:rPr>
              <w:t>Enron Analyst and Associate Business School Loan Program</w:t>
            </w:r>
          </w:p>
        </w:tc>
        <w:tc>
          <w:tcPr>
            <w:tcW w:w="1409" w:type="dxa"/>
            <w:tcBorders>
              <w:bottom w:val="single" w:sz="18" w:space="0" w:color="000000"/>
            </w:tcBorders>
          </w:tcPr>
          <w:p>
            <w:pPr>
              <w:pStyle w:val="Normal"/>
              <w:ind w:start="-180" w:end="0"/>
              <w:jc w:val="end"/>
              <w:rPr>
                <w:rFonts w:ascii="Arial" w:hAnsi="Arial" w:cs="Arial"/>
              </w:rPr>
            </w:pPr>
            <w:r>
              <w:rPr>
                <w:rFonts w:cs="Arial" w:ascii="Arial" w:hAnsi="Arial"/>
              </w:rPr>
              <w:t>Date:</w:t>
            </w:r>
          </w:p>
        </w:tc>
        <w:tc>
          <w:tcPr>
            <w:tcW w:w="2460" w:type="dxa"/>
            <w:tcBorders>
              <w:bottom w:val="single" w:sz="18" w:space="0" w:color="000000"/>
            </w:tcBorders>
          </w:tcPr>
          <w:p>
            <w:pPr>
              <w:pStyle w:val="Date"/>
              <w:rPr/>
            </w:pPr>
            <w:r>
              <w:rPr/>
              <w:t>June 19, 2001</w:t>
            </w:r>
          </w:p>
        </w:tc>
      </w:tr>
    </w:tbl>
    <w:p>
      <w:pPr>
        <w:pStyle w:val="Normal"/>
        <w:ind w:start="90" w:end="0"/>
        <w:rPr>
          <w:rFonts w:ascii="Arial" w:hAnsi="Arial" w:cs="Arial"/>
        </w:rPr>
      </w:pPr>
      <w:r>
        <w:rPr>
          <w:rFonts w:cs="Arial" w:ascii="Arial" w:hAnsi="Arial"/>
        </w:rPr>
      </w:r>
    </w:p>
    <w:p>
      <w:pPr>
        <w:pStyle w:val="Normal"/>
        <w:ind w:start="90" w:end="0"/>
        <w:rPr>
          <w:rFonts w:ascii="Arial" w:hAnsi="Arial" w:cs="Arial"/>
          <w:b/>
          <w:bCs/>
        </w:rPr>
      </w:pPr>
      <w:r>
        <w:rPr>
          <w:rFonts w:cs="Arial" w:ascii="Arial" w:hAnsi="Arial"/>
          <w:b/>
          <w:bCs/>
        </w:rPr>
      </w:r>
    </w:p>
    <w:p>
      <w:pPr>
        <w:pStyle w:val="Normal"/>
        <w:ind w:start="90" w:end="0"/>
        <w:rPr>
          <w:rFonts w:ascii="Arial" w:hAnsi="Arial" w:cs="Arial"/>
          <w:b/>
          <w:bCs/>
        </w:rPr>
      </w:pPr>
      <w:r>
        <w:rPr>
          <w:rFonts w:cs="Arial" w:ascii="Arial" w:hAnsi="Arial"/>
          <w:b/>
          <w:bCs/>
        </w:rPr>
        <w:t>Business School Assistance Program</w:t>
      </w:r>
    </w:p>
    <w:p>
      <w:pPr>
        <w:pStyle w:val="Normal"/>
        <w:ind w:start="90" w:end="0"/>
        <w:rPr>
          <w:rFonts w:ascii="Arial" w:hAnsi="Arial" w:cs="Arial"/>
          <w:b/>
          <w:bCs/>
        </w:rPr>
      </w:pPr>
      <w:r>
        <w:rPr>
          <w:rFonts w:cs="Arial" w:ascii="Arial" w:hAnsi="Arial"/>
          <w:b/>
          <w:bCs/>
        </w:rPr>
      </w:r>
    </w:p>
    <w:p>
      <w:pPr>
        <w:pStyle w:val="Normal"/>
        <w:ind w:start="90" w:end="0"/>
        <w:rPr>
          <w:rFonts w:ascii="Arial" w:hAnsi="Arial" w:cs="Arial"/>
        </w:rPr>
      </w:pPr>
      <w:r>
        <w:rPr>
          <w:rFonts w:cs="Arial" w:ascii="Arial" w:hAnsi="Arial"/>
        </w:rPr>
        <w:t xml:space="preserve">The Business School Loan Program is designed to provide financial assistance to Analysts and Associates who have attended an approved business school and return to Enron as an Associate. </w:t>
      </w:r>
    </w:p>
    <w:p>
      <w:pPr>
        <w:pStyle w:val="Normal"/>
        <w:ind w:start="90" w:end="0"/>
        <w:rPr>
          <w:rFonts w:ascii="Arial" w:hAnsi="Arial" w:cs="Arial"/>
        </w:rPr>
      </w:pPr>
      <w:r>
        <w:rPr>
          <w:rFonts w:cs="Arial" w:ascii="Arial" w:hAnsi="Arial"/>
        </w:rPr>
      </w:r>
    </w:p>
    <w:p>
      <w:pPr>
        <w:pStyle w:val="Normal"/>
        <w:ind w:start="90" w:end="0"/>
        <w:rPr>
          <w:rFonts w:ascii="Arial" w:hAnsi="Arial" w:cs="Arial"/>
        </w:rPr>
      </w:pPr>
      <w:r>
        <w:rPr>
          <w:rFonts w:cs="Arial" w:ascii="Arial" w:hAnsi="Arial"/>
        </w:rPr>
        <w:t>The guidelines for applying for such assistance are detailed below:</w:t>
      </w:r>
    </w:p>
    <w:p>
      <w:pPr>
        <w:pStyle w:val="Normal"/>
        <w:ind w:start="90" w:end="0"/>
        <w:rPr>
          <w:rFonts w:ascii="Arial" w:hAnsi="Arial" w:cs="Arial"/>
        </w:rPr>
      </w:pPr>
      <w:r>
        <w:rPr>
          <w:rFonts w:cs="Arial" w:ascii="Arial" w:hAnsi="Arial"/>
        </w:rPr>
      </w:r>
    </w:p>
    <w:p>
      <w:pPr>
        <w:pStyle w:val="Heading1"/>
        <w:ind w:hanging="0" w:start="90" w:end="0"/>
        <w:rPr>
          <w:rFonts w:ascii="Arial" w:hAnsi="Arial" w:cs="Arial"/>
          <w:sz w:val="20"/>
        </w:rPr>
      </w:pPr>
      <w:r>
        <w:rPr>
          <w:rFonts w:cs="Arial" w:ascii="Arial" w:hAnsi="Arial"/>
          <w:sz w:val="20"/>
        </w:rPr>
        <w:t>Business School Loans</w:t>
      </w:r>
    </w:p>
    <w:p>
      <w:pPr>
        <w:pStyle w:val="Normal"/>
        <w:ind w:start="90" w:end="0"/>
        <w:rPr>
          <w:rFonts w:ascii="Arial" w:hAnsi="Arial" w:cs="Arial"/>
          <w:sz w:val="20"/>
        </w:rPr>
      </w:pPr>
      <w:r>
        <w:rPr>
          <w:rFonts w:cs="Arial" w:ascii="Arial" w:hAnsi="Arial"/>
          <w:sz w:val="20"/>
        </w:rPr>
      </w:r>
    </w:p>
    <w:p>
      <w:pPr>
        <w:pStyle w:val="Normal"/>
        <w:ind w:start="90" w:end="0"/>
        <w:rPr>
          <w:rFonts w:ascii="Arial" w:hAnsi="Arial" w:cs="Arial"/>
        </w:rPr>
      </w:pPr>
      <w:r>
        <w:rPr>
          <w:rFonts w:cs="Arial" w:ascii="Arial" w:hAnsi="Arial"/>
        </w:rPr>
        <w:t>Analyst who have completed two or three years in the Analyst program and Analysts who have been promoted to Associate are eligible to participate in the Enron Analyst and Associate tuition reimbursement program.  Criteria for the program is as follows:</w:t>
      </w:r>
    </w:p>
    <w:p>
      <w:pPr>
        <w:pStyle w:val="Normal"/>
        <w:ind w:start="90" w:end="0"/>
        <w:rPr>
          <w:rFonts w:ascii="Arial" w:hAnsi="Arial" w:cs="Arial"/>
        </w:rPr>
      </w:pPr>
      <w:r>
        <w:rPr>
          <w:rFonts w:cs="Arial" w:ascii="Arial" w:hAnsi="Arial"/>
        </w:rPr>
      </w:r>
    </w:p>
    <w:p>
      <w:pPr>
        <w:pStyle w:val="Normal"/>
        <w:numPr>
          <w:ilvl w:val="0"/>
          <w:numId w:val="2"/>
        </w:numPr>
        <w:ind w:hanging="360" w:start="90" w:end="0"/>
        <w:rPr>
          <w:rFonts w:ascii="Arial" w:hAnsi="Arial" w:cs="Arial"/>
        </w:rPr>
      </w:pPr>
      <w:r>
        <w:rPr>
          <w:rFonts w:cs="Arial" w:ascii="Arial" w:hAnsi="Arial"/>
        </w:rPr>
        <w:t>Have exhibited extremely high performance during the previous two PRC periods</w:t>
      </w:r>
    </w:p>
    <w:p>
      <w:pPr>
        <w:pStyle w:val="Normal"/>
        <w:numPr>
          <w:ilvl w:val="0"/>
          <w:numId w:val="2"/>
        </w:numPr>
        <w:ind w:hanging="360" w:start="90" w:end="0"/>
        <w:rPr>
          <w:rFonts w:ascii="Arial" w:hAnsi="Arial" w:cs="Arial"/>
        </w:rPr>
      </w:pPr>
      <w:r>
        <w:rPr>
          <w:rFonts w:cs="Arial" w:ascii="Arial" w:hAnsi="Arial"/>
        </w:rPr>
        <w:t>(at a level of 1, 2 or 3)</w:t>
      </w:r>
    </w:p>
    <w:p>
      <w:pPr>
        <w:pStyle w:val="Normal"/>
        <w:numPr>
          <w:ilvl w:val="0"/>
          <w:numId w:val="2"/>
        </w:numPr>
        <w:ind w:hanging="360" w:start="90" w:end="0"/>
        <w:rPr>
          <w:rFonts w:ascii="Arial" w:hAnsi="Arial" w:cs="Arial"/>
        </w:rPr>
      </w:pPr>
      <w:r>
        <w:rPr>
          <w:rFonts w:cs="Arial" w:ascii="Arial" w:hAnsi="Arial"/>
        </w:rPr>
        <w:t>Have an offer to return to Enron as an Associate</w:t>
      </w:r>
    </w:p>
    <w:p>
      <w:pPr>
        <w:pStyle w:val="Normal"/>
        <w:numPr>
          <w:ilvl w:val="0"/>
          <w:numId w:val="2"/>
        </w:numPr>
        <w:ind w:hanging="360" w:start="90" w:end="0"/>
        <w:rPr>
          <w:rFonts w:ascii="Arial" w:hAnsi="Arial" w:cs="Arial"/>
        </w:rPr>
      </w:pPr>
      <w:r>
        <w:rPr>
          <w:rFonts w:cs="Arial" w:ascii="Arial" w:hAnsi="Arial"/>
        </w:rPr>
        <w:t>Have submitted three letters of recommendation from</w:t>
      </w:r>
    </w:p>
    <w:p>
      <w:pPr>
        <w:pStyle w:val="Normal"/>
        <w:ind w:firstLine="720" w:start="90" w:end="0"/>
        <w:rPr>
          <w:rFonts w:ascii="Arial" w:hAnsi="Arial" w:cs="Arial"/>
        </w:rPr>
      </w:pPr>
      <w:r>
        <w:rPr>
          <w:rFonts w:cs="Arial" w:ascii="Arial" w:hAnsi="Arial"/>
        </w:rPr>
        <w:t>-    Your current supervisor</w:t>
      </w:r>
    </w:p>
    <w:p>
      <w:pPr>
        <w:pStyle w:val="Normal"/>
        <w:ind w:firstLine="720" w:start="90" w:end="0"/>
        <w:rPr>
          <w:rFonts w:ascii="Arial" w:hAnsi="Arial" w:cs="Arial"/>
        </w:rPr>
      </w:pPr>
      <w:r>
        <w:rPr>
          <w:rFonts w:cs="Arial" w:ascii="Arial" w:hAnsi="Arial"/>
        </w:rPr>
        <w:t>-    From your previous supervisor</w:t>
      </w:r>
    </w:p>
    <w:p>
      <w:pPr>
        <w:pStyle w:val="BodyTextIndent2"/>
        <w:ind w:hanging="270" w:start="1080" w:end="0"/>
        <w:rPr/>
      </w:pPr>
      <w:r>
        <w:rPr/>
        <w:t>-    From an individual that can speak objectively about and demonstrate through</w:t>
      </w:r>
    </w:p>
    <w:p>
      <w:pPr>
        <w:pStyle w:val="BodyTextIndent2"/>
        <w:tabs>
          <w:tab w:val="clear" w:pos="900"/>
          <w:tab w:val="left" w:pos="1080" w:leader="none"/>
        </w:tabs>
        <w:ind w:hanging="0" w:start="1080" w:end="0"/>
        <w:rPr/>
      </w:pPr>
      <w:r>
        <w:rPr/>
        <w:t>examples the individual’s commitment to Enron’s Vision and Values</w:t>
      </w:r>
    </w:p>
    <w:p>
      <w:pPr>
        <w:pStyle w:val="Normal"/>
        <w:ind w:start="1080" w:end="0"/>
        <w:rPr>
          <w:rFonts w:ascii="Arial" w:hAnsi="Arial" w:cs="Arial"/>
        </w:rPr>
      </w:pPr>
      <w:r>
        <w:rPr>
          <w:rFonts w:cs="Arial" w:ascii="Arial" w:hAnsi="Arial"/>
        </w:rPr>
      </w:r>
    </w:p>
    <w:p>
      <w:pPr>
        <w:pStyle w:val="Normal"/>
        <w:ind w:start="90" w:end="0"/>
        <w:rPr>
          <w:rFonts w:ascii="Arial" w:hAnsi="Arial" w:cs="Arial"/>
        </w:rPr>
      </w:pPr>
      <w:r>
        <w:rPr>
          <w:rFonts w:cs="Arial" w:ascii="Arial" w:hAnsi="Arial"/>
        </w:rPr>
        <w:t>Upon acceptance to business school, the individual should request the Educational Assistance Loan form from Career Development.  The completed form, together with all attachments, should be submitted as soon as possible after acceptance to business school.  If seeking assistance for the fall semester, the form should be submitted no later than May 31 and for the spring semester, no later than October 31.  Acceptance/rejection into the Educational Assistance Program will be within ten days of receipt of the information.</w:t>
      </w:r>
    </w:p>
    <w:p>
      <w:pPr>
        <w:pStyle w:val="Normal"/>
        <w:ind w:start="90" w:end="0"/>
        <w:rPr>
          <w:rFonts w:ascii="Arial" w:hAnsi="Arial" w:cs="Arial"/>
        </w:rPr>
      </w:pPr>
      <w:r>
        <w:rPr>
          <w:rFonts w:cs="Arial" w:ascii="Arial" w:hAnsi="Arial"/>
        </w:rPr>
      </w:r>
    </w:p>
    <w:p>
      <w:pPr>
        <w:pStyle w:val="Normal"/>
        <w:ind w:start="90" w:end="0"/>
        <w:rPr>
          <w:rFonts w:ascii="Arial" w:hAnsi="Arial" w:cs="Arial"/>
        </w:rPr>
      </w:pPr>
      <w:r>
        <w:rPr>
          <w:rFonts w:cs="Arial" w:ascii="Arial" w:hAnsi="Arial"/>
        </w:rPr>
        <w:t>Upon acceptance into the Educational Assistance Program, the applicant will be required to secure their own loan to cover the cost of tuition and books.  The Analyst and Associate Program has worked with the Enron Federal Credit Union to set up a number of different loan options to fit individual needs.  The contact person at Enron Federal Credit Union is Gary Hugo at 713-853-5317.  Additionally, we have listed below a number of banks that have student loan programs and their respective web sites for your review.  Applicants are encouraged but not required to utilize one of these financial institutions and their student loan programs.  The sites are as follows:</w:t>
      </w:r>
    </w:p>
    <w:p>
      <w:pPr>
        <w:pStyle w:val="Normal"/>
        <w:ind w:start="90" w:end="0"/>
        <w:rPr>
          <w:rFonts w:ascii="Arial" w:hAnsi="Arial" w:cs="Arial"/>
        </w:rPr>
      </w:pPr>
      <w:r>
        <w:rPr>
          <w:rFonts w:cs="Arial" w:ascii="Arial" w:hAnsi="Arial"/>
        </w:rPr>
      </w:r>
    </w:p>
    <w:p>
      <w:pPr>
        <w:pStyle w:val="Normal"/>
        <w:ind w:start="90" w:end="0"/>
        <w:rPr>
          <w:rFonts w:ascii="Arial" w:hAnsi="Arial" w:cs="Arial"/>
          <w:color w:val="0000FF"/>
        </w:rPr>
      </w:pPr>
      <w:r>
        <w:rPr>
          <w:rFonts w:cs="Arial" w:ascii="Arial" w:hAnsi="Arial"/>
        </w:rPr>
        <w:t xml:space="preserve">Enron Federal Credit Union:  </w:t>
      </w:r>
      <w:r>
        <w:rPr>
          <w:rFonts w:cs="Arial" w:ascii="Arial" w:hAnsi="Arial"/>
          <w:color w:val="0000FF"/>
          <w:u w:val="single"/>
        </w:rPr>
        <w:t>www.enronfcu.com/studentcenter</w:t>
      </w:r>
    </w:p>
    <w:p>
      <w:pPr>
        <w:pStyle w:val="Normal"/>
        <w:ind w:start="90" w:end="0"/>
        <w:rPr>
          <w:rFonts w:ascii="Arial" w:hAnsi="Arial" w:cs="Arial"/>
        </w:rPr>
      </w:pPr>
      <w:r>
        <w:rPr>
          <w:rFonts w:cs="Arial" w:ascii="Arial" w:hAnsi="Arial"/>
        </w:rPr>
        <w:t xml:space="preserve">Chase:  </w:t>
      </w:r>
      <w:hyperlink r:id="rId3">
        <w:r>
          <w:rPr>
            <w:rStyle w:val="Hyperlink"/>
            <w:rFonts w:cs="Arial" w:ascii="Arial" w:hAnsi="Arial"/>
          </w:rPr>
          <w:t>http://www.chase.com/chase/gx.cgi/FTcs</w:t>
        </w:r>
      </w:hyperlink>
    </w:p>
    <w:p>
      <w:pPr>
        <w:pStyle w:val="Normal"/>
        <w:ind w:start="90" w:end="0"/>
        <w:rPr>
          <w:rFonts w:ascii="Arial" w:hAnsi="Arial" w:cs="Arial"/>
          <w:color w:val="FF0000"/>
        </w:rPr>
      </w:pPr>
      <w:r>
        <w:rPr>
          <w:rFonts w:cs="Arial" w:ascii="Arial" w:hAnsi="Arial"/>
        </w:rPr>
        <w:t xml:space="preserve">Citibank:  </w:t>
      </w:r>
      <w:r>
        <w:rPr>
          <w:rFonts w:cs="Arial" w:ascii="Arial" w:hAnsi="Arial"/>
          <w:color w:val="0000FF"/>
          <w:u w:val="single"/>
        </w:rPr>
        <w:t>http://www.studentloan.com</w:t>
      </w:r>
    </w:p>
    <w:p>
      <w:pPr>
        <w:pStyle w:val="Normal"/>
        <w:ind w:start="90" w:end="0"/>
        <w:rPr>
          <w:rFonts w:ascii="Arial" w:hAnsi="Arial" w:cs="Arial"/>
        </w:rPr>
      </w:pPr>
      <w:r>
        <w:rPr>
          <w:rFonts w:cs="Arial" w:ascii="Arial" w:hAnsi="Arial"/>
        </w:rPr>
        <w:t xml:space="preserve">Well Fargo:  </w:t>
      </w:r>
      <w:hyperlink r:id="rId4">
        <w:r>
          <w:rPr>
            <w:rStyle w:val="Hyperlink"/>
            <w:rFonts w:cs="Arial" w:ascii="Arial" w:hAnsi="Arial"/>
          </w:rPr>
          <w:t>http://www.wellsfargo.com/per/student/finaid/finaid_overview.jhtml</w:t>
        </w:r>
      </w:hyperlink>
    </w:p>
    <w:p>
      <w:pPr>
        <w:pStyle w:val="Normal"/>
        <w:ind w:start="90" w:end="0"/>
        <w:rPr>
          <w:rFonts w:ascii="Arial" w:hAnsi="Arial" w:cs="Arial"/>
        </w:rPr>
      </w:pPr>
      <w:r>
        <w:rPr>
          <w:rFonts w:cs="Arial" w:ascii="Arial" w:hAnsi="Arial"/>
        </w:rPr>
        <w:t xml:space="preserve">Bank of America:  </w:t>
      </w:r>
      <w:hyperlink r:id="rId5">
        <w:r>
          <w:rPr>
            <w:rStyle w:val="Hyperlink"/>
            <w:rFonts w:cs="Arial" w:ascii="Arial" w:hAnsi="Arial"/>
          </w:rPr>
          <w:t>www.bankofamerica.com/studentbanking</w:t>
        </w:r>
      </w:hyperlink>
    </w:p>
    <w:p>
      <w:pPr>
        <w:pStyle w:val="Normal"/>
        <w:ind w:start="90" w:end="0"/>
        <w:rPr>
          <w:rFonts w:ascii="Arial" w:hAnsi="Arial" w:cs="Arial"/>
        </w:rPr>
      </w:pPr>
      <w:r>
        <w:rPr>
          <w:rFonts w:cs="Arial" w:ascii="Arial" w:hAnsi="Arial"/>
        </w:rPr>
      </w:r>
    </w:p>
    <w:p>
      <w:pPr>
        <w:pStyle w:val="BodyText"/>
        <w:ind w:start="90" w:end="0"/>
        <w:rPr>
          <w:rFonts w:ascii="Arial" w:hAnsi="Arial" w:cs="Arial"/>
          <w:sz w:val="20"/>
        </w:rPr>
      </w:pPr>
      <w:r>
        <w:rPr>
          <w:rFonts w:cs="Arial" w:ascii="Arial" w:hAnsi="Arial"/>
          <w:sz w:val="20"/>
        </w:rPr>
        <w:t>Applicants need to understand that when making application to a financial institution that Enron does not guaranty repayment of the loan and that the financial institution’s decision will be based on the creditworthiness of the individual applicant.</w:t>
      </w:r>
    </w:p>
    <w:p>
      <w:pPr>
        <w:pStyle w:val="BodyText"/>
        <w:ind w:start="90" w:end="0"/>
        <w:rPr>
          <w:rFonts w:ascii="Arial" w:hAnsi="Arial" w:cs="Arial"/>
          <w:sz w:val="20"/>
        </w:rPr>
      </w:pPr>
      <w:r>
        <w:rPr>
          <w:rFonts w:cs="Arial" w:ascii="Arial" w:hAnsi="Arial"/>
          <w:sz w:val="20"/>
        </w:rPr>
      </w:r>
    </w:p>
    <w:p>
      <w:pPr>
        <w:pStyle w:val="BodyText"/>
        <w:ind w:start="90" w:end="0"/>
        <w:rPr/>
      </w:pPr>
      <w:r>
        <w:rPr>
          <w:rFonts w:cs="Arial" w:ascii="Arial" w:hAnsi="Arial"/>
          <w:sz w:val="20"/>
          <w:u w:val="single"/>
        </w:rPr>
        <w:t>During the period of study, the student will not be an employee of Enron</w:t>
      </w:r>
      <w:r>
        <w:rPr>
          <w:rFonts w:cs="Arial" w:ascii="Arial" w:hAnsi="Arial"/>
          <w:sz w:val="20"/>
        </w:rPr>
        <w:t xml:space="preserve">.  </w:t>
      </w:r>
      <w:r>
        <w:rPr>
          <w:rFonts w:cs="Arial" w:ascii="Arial" w:hAnsi="Arial"/>
          <w:b w:val="false"/>
          <w:bCs w:val="false"/>
          <w:sz w:val="20"/>
        </w:rPr>
        <w:t xml:space="preserve">Upon graduation from business school and successful return to Enron as a member of the Enron Associate Program, Enron will reimburse the employee for repayment of the loan, including principle and interest over a three-year period.  The individual must present proof of graduation from the business school and submit a copy of the loan documents to Enron.  The first repayment will occur at the end of the Associate’s first year anniversary with subsequent payments on each anniversary of employment (with the final payment on the third year anniversary date).   Payments to the individual will be grossed up for taxes to reflect the actual amount due on each anniversary.  </w:t>
      </w:r>
      <w:r>
        <w:rPr>
          <w:rFonts w:cs="Arial" w:ascii="Arial" w:hAnsi="Arial"/>
          <w:sz w:val="20"/>
        </w:rPr>
        <w:t>Should an individual leave Enron prior to the third year anniversary Enron’s obligation to repay the loan shall cease to exist and the individual will be responsible for any remaining principle and interest on the loan.</w:t>
      </w:r>
    </w:p>
    <w:p>
      <w:pPr>
        <w:pStyle w:val="BodyText"/>
        <w:ind w:start="90" w:end="0"/>
        <w:rPr>
          <w:rFonts w:ascii="Arial" w:hAnsi="Arial" w:cs="Arial"/>
          <w:sz w:val="20"/>
        </w:rPr>
      </w:pPr>
      <w:r>
        <w:rPr>
          <w:rFonts w:cs="Arial" w:ascii="Arial" w:hAnsi="Arial"/>
          <w:sz w:val="20"/>
        </w:rPr>
      </w:r>
    </w:p>
    <w:p>
      <w:pPr>
        <w:pStyle w:val="BodyText"/>
        <w:ind w:start="90" w:end="0"/>
        <w:rPr>
          <w:rFonts w:ascii="Arial" w:hAnsi="Arial" w:cs="Arial"/>
          <w:b w:val="false"/>
          <w:bCs w:val="false"/>
          <w:sz w:val="20"/>
        </w:rPr>
      </w:pPr>
      <w:r>
        <w:rPr>
          <w:rFonts w:cs="Arial" w:ascii="Arial" w:hAnsi="Arial"/>
          <w:b w:val="false"/>
          <w:bCs w:val="false"/>
          <w:sz w:val="20"/>
        </w:rPr>
        <w:t>Please note that the guidelines are reviewed periodically and are subject to change as the Program continues to develop and mature.</w:t>
      </w:r>
    </w:p>
    <w:p>
      <w:pPr>
        <w:pStyle w:val="BodyText"/>
        <w:ind w:start="90" w:end="0"/>
        <w:rPr>
          <w:rFonts w:ascii="Arial" w:hAnsi="Arial" w:cs="Arial"/>
          <w:b w:val="false"/>
          <w:bCs w:val="false"/>
          <w:sz w:val="20"/>
        </w:rPr>
      </w:pPr>
      <w:r>
        <w:rPr>
          <w:rFonts w:cs="Arial" w:ascii="Arial" w:hAnsi="Arial"/>
          <w:b w:val="false"/>
          <w:bCs w:val="false"/>
          <w:sz w:val="20"/>
        </w:rPr>
      </w:r>
    </w:p>
    <w:p>
      <w:pPr>
        <w:pStyle w:val="BodyText"/>
        <w:ind w:start="90" w:end="0"/>
        <w:rPr>
          <w:rFonts w:ascii="Arial" w:hAnsi="Arial" w:cs="Arial"/>
          <w:b w:val="false"/>
          <w:bCs w:val="false"/>
          <w:sz w:val="20"/>
        </w:rPr>
      </w:pPr>
      <w:r>
        <w:rPr>
          <w:rFonts w:cs="Arial" w:ascii="Arial" w:hAnsi="Arial"/>
          <w:b w:val="false"/>
          <w:bCs w:val="false"/>
          <w:sz w:val="20"/>
        </w:rPr>
        <w:t>Enron wishes you much success in your quest to continue your education.</w:t>
      </w:r>
    </w:p>
    <w:p>
      <w:pPr>
        <w:pStyle w:val="BodyText"/>
        <w:ind w:start="90" w:end="0"/>
        <w:rPr>
          <w:rFonts w:ascii="Arial" w:hAnsi="Arial" w:cs="Arial"/>
          <w:b w:val="false"/>
          <w:bCs w:val="false"/>
          <w:sz w:val="20"/>
        </w:rPr>
      </w:pPr>
      <w:r>
        <w:rPr>
          <w:rFonts w:cs="Arial" w:ascii="Arial" w:hAnsi="Arial"/>
          <w:b w:val="false"/>
          <w:bCs w:val="false"/>
          <w:sz w:val="20"/>
        </w:rPr>
      </w:r>
    </w:p>
    <w:p>
      <w:pPr>
        <w:pStyle w:val="BodyText"/>
        <w:ind w:start="90" w:end="0"/>
        <w:rPr>
          <w:rFonts w:ascii="Arial" w:hAnsi="Arial" w:cs="Arial"/>
          <w:b w:val="false"/>
          <w:bCs w:val="false"/>
          <w:sz w:val="20"/>
        </w:rPr>
      </w:pPr>
      <w:r>
        <w:rPr>
          <w:rFonts w:cs="Arial" w:ascii="Arial" w:hAnsi="Arial"/>
          <w:b w:val="false"/>
          <w:bCs w:val="false"/>
          <w:sz w:val="20"/>
        </w:rPr>
      </w:r>
    </w:p>
    <w:p>
      <w:pPr>
        <w:pStyle w:val="Normal"/>
        <w:ind w:start="90" w:end="0"/>
        <w:rPr>
          <w:rFonts w:ascii="Arial" w:hAnsi="Arial" w:cs="Arial"/>
          <w:b/>
          <w:bCs/>
          <w:sz w:val="20"/>
        </w:rPr>
      </w:pPr>
      <w:r>
        <w:rPr>
          <w:rFonts w:cs="Arial" w:ascii="Arial" w:hAnsi="Arial"/>
          <w:b/>
          <w:bCs/>
          <w:sz w:val="20"/>
        </w:rPr>
      </w:r>
    </w:p>
    <w:p>
      <w:pPr>
        <w:pStyle w:val="Normal"/>
        <w:ind w:start="90" w:end="0"/>
        <w:rPr>
          <w:rFonts w:ascii="Arial" w:hAnsi="Arial" w:cs="Arial"/>
          <w:b/>
          <w:bCs/>
        </w:rPr>
      </w:pPr>
      <w:r>
        <w:rPr>
          <w:rFonts w:cs="Arial" w:ascii="Arial" w:hAnsi="Arial"/>
          <w:b/>
          <w:bCs/>
        </w:rPr>
      </w:r>
    </w:p>
    <w:p>
      <w:pPr>
        <w:pStyle w:val="Normal"/>
        <w:ind w:start="90" w:end="0"/>
        <w:rPr/>
      </w:pPr>
      <w:r>
        <w:rPr>
          <w:rFonts w:cs="Arial" w:ascii="Arial" w:hAnsi="Arial"/>
          <w:u w:val="single"/>
        </w:rPr>
        <w:t>Distribution</w:t>
      </w:r>
      <w:r>
        <w:rPr>
          <w:rFonts w:cs="Arial" w:ascii="Arial" w:hAnsi="Arial"/>
        </w:rPr>
        <w:t>:</w:t>
      </w:r>
    </w:p>
    <w:p>
      <w:pPr>
        <w:pStyle w:val="Normal"/>
        <w:ind w:start="90" w:end="0"/>
        <w:rPr>
          <w:rFonts w:ascii="Arial" w:hAnsi="Arial" w:cs="Arial"/>
        </w:rPr>
      </w:pPr>
      <w:r>
        <w:rPr>
          <w:rFonts w:cs="Arial" w:ascii="Arial" w:hAnsi="Arial"/>
        </w:rPr>
        <w:t>Analyst &amp; Associates</w:t>
      </w:r>
    </w:p>
    <w:p>
      <w:pPr>
        <w:pStyle w:val="Normal"/>
        <w:ind w:start="90" w:end="0"/>
        <w:rPr>
          <w:rFonts w:ascii="Arial" w:hAnsi="Arial" w:cs="Arial"/>
        </w:rPr>
      </w:pPr>
      <w:r>
        <w:rPr>
          <w:rFonts w:cs="Arial" w:ascii="Arial" w:hAnsi="Arial"/>
        </w:rPr>
        <w:t>Analyst &amp; Associate – Supervisors</w:t>
      </w:r>
    </w:p>
    <w:p>
      <w:pPr>
        <w:pStyle w:val="Normal"/>
        <w:ind w:start="90" w:end="0"/>
        <w:rPr>
          <w:rFonts w:ascii="Arial" w:hAnsi="Arial" w:cs="Arial"/>
        </w:rPr>
      </w:pPr>
      <w:r>
        <w:rPr>
          <w:rFonts w:cs="Arial" w:ascii="Arial" w:hAnsi="Arial"/>
        </w:rPr>
      </w:r>
    </w:p>
    <w:p>
      <w:pPr>
        <w:pStyle w:val="Subject"/>
        <w:ind w:start="90" w:end="0"/>
        <w:rPr>
          <w:rFonts w:ascii="Arial" w:hAnsi="Arial" w:cs="Arial"/>
        </w:rPr>
      </w:pPr>
      <w:r>
        <w:rPr>
          <w:rFonts w:cs="Arial"/>
        </w:rPr>
      </w:r>
    </w:p>
    <w:p>
      <w:pPr>
        <w:pStyle w:val="Normal"/>
        <w:ind w:start="90" w:end="0"/>
        <w:rPr/>
      </w:pPr>
      <w:r>
        <w:rPr>
          <w:rFonts w:cs="Arial" w:ascii="Arial" w:hAnsi="Arial"/>
          <w:u w:val="single"/>
        </w:rPr>
        <w:t>CC</w:t>
      </w:r>
      <w:r>
        <w:rPr>
          <w:rFonts w:cs="Arial" w:ascii="Arial" w:hAnsi="Arial"/>
        </w:rPr>
        <w:t>:</w:t>
      </w:r>
    </w:p>
    <w:p>
      <w:pPr>
        <w:pStyle w:val="Normal"/>
        <w:ind w:start="90" w:end="0"/>
        <w:rPr>
          <w:rFonts w:ascii="Arial" w:hAnsi="Arial" w:cs="Arial"/>
        </w:rPr>
      </w:pPr>
      <w:r>
        <w:rPr>
          <w:rFonts w:cs="Arial" w:ascii="Arial" w:hAnsi="Arial"/>
        </w:rPr>
        <w:t>Analyst &amp; Associate Committee</w:t>
      </w:r>
    </w:p>
    <w:p>
      <w:pPr>
        <w:pStyle w:val="Normal"/>
        <w:ind w:start="90" w:end="0"/>
        <w:rPr>
          <w:rFonts w:ascii="Arial" w:hAnsi="Arial" w:cs="Arial"/>
        </w:rPr>
      </w:pPr>
      <w:r>
        <w:rPr>
          <w:rFonts w:cs="Arial" w:ascii="Arial" w:hAnsi="Arial"/>
        </w:rPr>
        <w:t>Executive Committee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4"/>
      <w:szCs w:val="24"/>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BodyTextIndent">
    <w:name w:val="Body Text Indent"/>
    <w:basedOn w:val="Normal"/>
    <w:pPr>
      <w:ind w:hanging="0" w:start="90" w:end="0"/>
      <w:jc w:val="both"/>
    </w:pPr>
    <w:rPr>
      <w:rFonts w:ascii="Arial" w:hAnsi="Arial" w:cs="Arial"/>
      <w:sz w:val="24"/>
    </w:rPr>
  </w:style>
  <w:style w:type="paragraph" w:styleId="BodyTextIndent2">
    <w:name w:val="Body Text Indent 2"/>
    <w:basedOn w:val="Normal"/>
    <w:qFormat/>
    <w:pPr>
      <w:tabs>
        <w:tab w:val="clear" w:pos="720"/>
        <w:tab w:val="left" w:pos="900" w:leader="none"/>
      </w:tabs>
      <w:ind w:firstLine="720" w:start="9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hase.com/chase/gx.cgi/FTcs" TargetMode="External"/><Relationship Id="rId4" Type="http://schemas.openxmlformats.org/officeDocument/2006/relationships/hyperlink" Target="http://www.wellsfargo.com/per/student/finaid/finaid_overview.jhtml" TargetMode="External"/><Relationship Id="rId5" Type="http://schemas.openxmlformats.org/officeDocument/2006/relationships/hyperlink" Target="http://www.bankofamerica.com/studentbanking"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2001-06-19T16:02:00Z</dcterms:created>
  <dc:creator>ml</dc:creator>
  <dc:description/>
  <dc:language>en-CA</dc:language>
  <cp:lastModifiedBy>mleving</cp:lastModifiedBy>
  <cp:lastPrinted>2001-06-20T13:54:00Z</cp:lastPrinted>
  <dcterms:modified xsi:type="dcterms:W3CDTF">2001-06-20T16:28:00Z</dcterms:modified>
  <cp:revision>15</cp:revision>
  <dc:subject/>
  <dc:title>John for the Rode Island Project, attached please find the following documents.</dc:title>
</cp:coreProperties>
</file>