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8909" w:type="dxa"/>
        <w:jc w:val="start"/>
        <w:tblInd w:w="200" w:type="dxa"/>
        <w:tblLayout w:type="fixed"/>
        <w:tblCellMar>
          <w:top w:w="0" w:type="dxa"/>
          <w:start w:w="108" w:type="dxa"/>
          <w:bottom w:w="0" w:type="dxa"/>
          <w:end w:w="108" w:type="dxa"/>
        </w:tblCellMar>
      </w:tblPr>
      <w:tblGrid>
        <w:gridCol w:w="898"/>
        <w:gridCol w:w="4142"/>
        <w:gridCol w:w="1409"/>
        <w:gridCol w:w="2460"/>
      </w:tblGrid>
      <w:tr>
        <w:trPr>
          <w:trHeight w:val="300" w:hRule="exact"/>
        </w:trPr>
        <w:tc>
          <w:tcPr>
            <w:tcW w:w="898" w:type="dxa"/>
            <w:tcBorders/>
          </w:tcPr>
          <w:p>
            <w:pPr>
              <w:pStyle w:val="Normal"/>
              <w:ind w:start="-180" w:end="0"/>
              <w:jc w:val="end"/>
              <w:rPr>
                <w:rFonts w:ascii="Arial" w:hAnsi="Arial" w:cs="Arial"/>
              </w:rPr>
            </w:pPr>
            <w:r>
              <w:rPr>
                <w:rFonts w:cs="Arial" w:ascii="Arial" w:hAnsi="Arial"/>
              </w:rPr>
              <w:t>To:</w:t>
            </w:r>
          </w:p>
        </w:tc>
        <w:tc>
          <w:tcPr>
            <w:tcW w:w="4142" w:type="dxa"/>
            <w:tcBorders/>
          </w:tcPr>
          <w:p>
            <w:pPr>
              <w:pStyle w:val="To"/>
              <w:rPr/>
            </w:pPr>
            <w:bookmarkStart w:id="0" w:name="to"/>
            <w:bookmarkEnd w:id="0"/>
            <w:r>
              <w:rPr/>
              <w:t>Distribution</w:t>
            </w:r>
          </w:p>
        </w:tc>
        <w:tc>
          <w:tcPr>
            <w:tcW w:w="1409" w:type="dxa"/>
            <w:tcBorders/>
          </w:tcPr>
          <w:p>
            <w:pPr>
              <w:pStyle w:val="Normal"/>
              <w:snapToGrid w:val="false"/>
              <w:ind w:start="-180" w:end="0"/>
              <w:rPr>
                <w:rFonts w:ascii="Arial" w:hAnsi="Arial" w:cs="Arial"/>
              </w:rPr>
            </w:pPr>
            <w:r>
              <w:rPr>
                <w:rFonts w:cs="Arial" w:ascii="Arial" w:hAnsi="Arial"/>
              </w:rPr>
            </w:r>
          </w:p>
        </w:tc>
        <w:tc>
          <w:tcPr>
            <w:tcW w:w="2460" w:type="dxa"/>
            <w:tcBorders/>
          </w:tcPr>
          <w:p>
            <w:pPr>
              <w:pStyle w:val="Subject"/>
              <w:snapToGrid w:val="false"/>
              <w:rPr>
                <w:rFonts w:ascii="Arial" w:hAnsi="Arial" w:cs="Arial"/>
              </w:rPr>
            </w:pPr>
            <w:r>
              <w:rPr>
                <w:rFonts w:cs="Arial"/>
              </w:rPr>
            </w:r>
          </w:p>
        </w:tc>
      </w:tr>
      <w:tr>
        <w:trPr>
          <w:trHeight w:val="216" w:hRule="exact"/>
        </w:trPr>
        <w:tc>
          <w:tcPr>
            <w:tcW w:w="898" w:type="dxa"/>
            <w:tcBorders/>
          </w:tcPr>
          <w:p>
            <w:pPr>
              <w:pStyle w:val="Normal"/>
              <w:snapToGrid w:val="false"/>
              <w:ind w:start="-180" w:end="0"/>
              <w:jc w:val="end"/>
              <w:rPr>
                <w:rFonts w:ascii="Arial" w:hAnsi="Arial" w:cs="Arial"/>
              </w:rPr>
            </w:pPr>
            <w:r>
              <w:rPr>
                <w:rFonts w:cs="Arial" w:ascii="Arial" w:hAnsi="Arial"/>
              </w:rPr>
            </w:r>
          </w:p>
        </w:tc>
        <w:tc>
          <w:tcPr>
            <w:tcW w:w="4142" w:type="dxa"/>
            <w:tcBorders/>
          </w:tcPr>
          <w:p>
            <w:pPr>
              <w:pStyle w:val="Normal"/>
              <w:snapToGrid w:val="false"/>
              <w:rPr>
                <w:rFonts w:ascii="Arial" w:hAnsi="Arial" w:cs="Arial"/>
              </w:rPr>
            </w:pPr>
            <w:r>
              <w:rPr>
                <w:rFonts w:cs="Arial" w:ascii="Arial" w:hAnsi="Arial"/>
              </w:rPr>
            </w:r>
          </w:p>
        </w:tc>
        <w:tc>
          <w:tcPr>
            <w:tcW w:w="1409" w:type="dxa"/>
            <w:tcBorders/>
          </w:tcPr>
          <w:p>
            <w:pPr>
              <w:pStyle w:val="Normal"/>
              <w:snapToGrid w:val="false"/>
              <w:ind w:start="-180" w:end="0"/>
              <w:rPr>
                <w:rFonts w:ascii="Arial" w:hAnsi="Arial" w:cs="Arial"/>
              </w:rPr>
            </w:pPr>
            <w:r>
              <w:rPr>
                <w:rFonts w:cs="Arial" w:ascii="Arial" w:hAnsi="Arial"/>
              </w:rPr>
            </w:r>
          </w:p>
        </w:tc>
        <w:tc>
          <w:tcPr>
            <w:tcW w:w="2460" w:type="dxa"/>
            <w:tcBorders/>
          </w:tcPr>
          <w:p>
            <w:pPr>
              <w:pStyle w:val="Normal"/>
              <w:snapToGrid w:val="false"/>
              <w:rPr>
                <w:rFonts w:ascii="Arial" w:hAnsi="Arial" w:cs="Arial"/>
              </w:rPr>
            </w:pPr>
            <w:r>
              <w:rPr>
                <w:rFonts w:cs="Arial" w:ascii="Arial" w:hAnsi="Arial"/>
              </w:rPr>
            </w:r>
          </w:p>
        </w:tc>
      </w:tr>
      <w:tr>
        <w:trPr>
          <w:trHeight w:val="300" w:hRule="exact"/>
        </w:trPr>
        <w:tc>
          <w:tcPr>
            <w:tcW w:w="898" w:type="dxa"/>
            <w:tcBorders/>
          </w:tcPr>
          <w:p>
            <w:pPr>
              <w:pStyle w:val="Normal"/>
              <w:ind w:start="-180" w:end="0"/>
              <w:jc w:val="end"/>
              <w:rPr>
                <w:rFonts w:ascii="Arial" w:hAnsi="Arial" w:cs="Arial"/>
              </w:rPr>
            </w:pPr>
            <w:r>
              <w:rPr>
                <w:rFonts w:cs="Arial" w:ascii="Arial" w:hAnsi="Arial"/>
              </w:rPr>
              <w:t>From:</w:t>
            </w:r>
          </w:p>
        </w:tc>
        <w:tc>
          <w:tcPr>
            <w:tcW w:w="4142" w:type="dxa"/>
            <w:tcBorders/>
          </w:tcPr>
          <w:p>
            <w:pPr>
              <w:pStyle w:val="From"/>
              <w:rPr/>
            </w:pPr>
            <w:r>
              <w:rPr/>
              <w:t>Ted Bland</w:t>
            </w:r>
          </w:p>
        </w:tc>
        <w:tc>
          <w:tcPr>
            <w:tcW w:w="1409" w:type="dxa"/>
            <w:tcBorders/>
          </w:tcPr>
          <w:p>
            <w:pPr>
              <w:pStyle w:val="Normal"/>
              <w:ind w:start="-180" w:end="0"/>
              <w:jc w:val="end"/>
              <w:rPr>
                <w:rFonts w:ascii="Arial" w:hAnsi="Arial" w:cs="Arial"/>
              </w:rPr>
            </w:pPr>
            <w:r>
              <w:rPr>
                <w:rFonts w:cs="Arial" w:ascii="Arial" w:hAnsi="Arial"/>
              </w:rPr>
              <w:t>Department:</w:t>
            </w:r>
          </w:p>
        </w:tc>
        <w:tc>
          <w:tcPr>
            <w:tcW w:w="2460" w:type="dxa"/>
            <w:tcBorders/>
          </w:tcPr>
          <w:p>
            <w:pPr>
              <w:pStyle w:val="Department"/>
              <w:rPr/>
            </w:pPr>
            <w:bookmarkStart w:id="1" w:name="From"/>
            <w:bookmarkEnd w:id="1"/>
            <w:r>
              <w:rPr/>
              <w:t>A&amp;A Department</w:t>
            </w:r>
          </w:p>
        </w:tc>
      </w:tr>
      <w:tr>
        <w:trPr>
          <w:trHeight w:val="216" w:hRule="exact"/>
        </w:trPr>
        <w:tc>
          <w:tcPr>
            <w:tcW w:w="898" w:type="dxa"/>
            <w:tcBorders/>
          </w:tcPr>
          <w:p>
            <w:pPr>
              <w:pStyle w:val="Normal"/>
              <w:snapToGrid w:val="false"/>
              <w:ind w:start="-180" w:end="0"/>
              <w:jc w:val="end"/>
              <w:rPr>
                <w:rFonts w:ascii="Arial" w:hAnsi="Arial" w:cs="Arial"/>
              </w:rPr>
            </w:pPr>
            <w:r>
              <w:rPr>
                <w:rFonts w:cs="Arial" w:ascii="Arial" w:hAnsi="Arial"/>
              </w:rPr>
            </w:r>
          </w:p>
        </w:tc>
        <w:tc>
          <w:tcPr>
            <w:tcW w:w="4142" w:type="dxa"/>
            <w:tcBorders/>
          </w:tcPr>
          <w:p>
            <w:pPr>
              <w:pStyle w:val="Normal"/>
              <w:snapToGrid w:val="false"/>
              <w:rPr>
                <w:rFonts w:ascii="Arial" w:hAnsi="Arial" w:cs="Arial"/>
                <w:b/>
                <w:bCs/>
              </w:rPr>
            </w:pPr>
            <w:r>
              <w:rPr>
                <w:rFonts w:cs="Arial" w:ascii="Arial" w:hAnsi="Arial"/>
                <w:b/>
                <w:bCs/>
              </w:rPr>
            </w:r>
          </w:p>
        </w:tc>
        <w:tc>
          <w:tcPr>
            <w:tcW w:w="1409" w:type="dxa"/>
            <w:tcBorders/>
          </w:tcPr>
          <w:p>
            <w:pPr>
              <w:pStyle w:val="Normal"/>
              <w:snapToGrid w:val="false"/>
              <w:ind w:start="-180" w:end="0"/>
              <w:rPr>
                <w:rFonts w:ascii="Arial" w:hAnsi="Arial" w:cs="Arial"/>
                <w:b/>
                <w:bCs/>
              </w:rPr>
            </w:pPr>
            <w:r>
              <w:rPr>
                <w:rFonts w:cs="Arial" w:ascii="Arial" w:hAnsi="Arial"/>
                <w:b/>
                <w:bCs/>
              </w:rPr>
            </w:r>
          </w:p>
        </w:tc>
        <w:tc>
          <w:tcPr>
            <w:tcW w:w="2460" w:type="dxa"/>
            <w:tcBorders/>
          </w:tcPr>
          <w:p>
            <w:pPr>
              <w:pStyle w:val="Normal"/>
              <w:snapToGrid w:val="false"/>
              <w:rPr>
                <w:rFonts w:ascii="Arial" w:hAnsi="Arial" w:cs="Arial"/>
              </w:rPr>
            </w:pPr>
            <w:r>
              <w:rPr>
                <w:rFonts w:cs="Arial" w:ascii="Arial" w:hAnsi="Arial"/>
              </w:rPr>
            </w:r>
          </w:p>
        </w:tc>
      </w:tr>
      <w:tr>
        <w:trPr>
          <w:trHeight w:val="600" w:hRule="exact"/>
        </w:trPr>
        <w:tc>
          <w:tcPr>
            <w:tcW w:w="898" w:type="dxa"/>
            <w:tcBorders>
              <w:bottom w:val="single" w:sz="18" w:space="0" w:color="000000"/>
            </w:tcBorders>
          </w:tcPr>
          <w:p>
            <w:pPr>
              <w:pStyle w:val="Normal"/>
              <w:ind w:start="-180" w:end="0"/>
              <w:jc w:val="end"/>
              <w:rPr>
                <w:rFonts w:ascii="Arial" w:hAnsi="Arial" w:cs="Arial"/>
              </w:rPr>
            </w:pPr>
            <w:r>
              <w:rPr>
                <w:rFonts w:cs="Arial" w:ascii="Arial" w:hAnsi="Arial"/>
              </w:rPr>
              <w:t>Subject:</w:t>
            </w:r>
          </w:p>
        </w:tc>
        <w:tc>
          <w:tcPr>
            <w:tcW w:w="4142" w:type="dxa"/>
            <w:tcBorders>
              <w:bottom w:val="single" w:sz="18" w:space="0" w:color="000000"/>
            </w:tcBorders>
          </w:tcPr>
          <w:p>
            <w:pPr>
              <w:pStyle w:val="Subject"/>
              <w:rPr>
                <w:b/>
                <w:bCs/>
                <w:color w:val="333399"/>
              </w:rPr>
            </w:pPr>
            <w:bookmarkStart w:id="2" w:name="Subject"/>
            <w:bookmarkEnd w:id="2"/>
            <w:r>
              <w:rPr>
                <w:b/>
                <w:bCs/>
                <w:color w:val="333399"/>
              </w:rPr>
              <w:t>Business School Loan Program</w:t>
            </w:r>
          </w:p>
          <w:p>
            <w:pPr>
              <w:pStyle w:val="Subject"/>
              <w:rPr>
                <w:b/>
                <w:bCs/>
                <w:color w:val="333399"/>
              </w:rPr>
            </w:pPr>
            <w:r>
              <w:rPr>
                <w:b/>
                <w:bCs/>
                <w:color w:val="333399"/>
              </w:rPr>
              <w:t>Back To School Bonuses</w:t>
            </w:r>
          </w:p>
        </w:tc>
        <w:tc>
          <w:tcPr>
            <w:tcW w:w="1409" w:type="dxa"/>
            <w:tcBorders>
              <w:bottom w:val="single" w:sz="18" w:space="0" w:color="000000"/>
            </w:tcBorders>
          </w:tcPr>
          <w:p>
            <w:pPr>
              <w:pStyle w:val="Normal"/>
              <w:ind w:start="-180" w:end="0"/>
              <w:jc w:val="end"/>
              <w:rPr>
                <w:rFonts w:ascii="Arial" w:hAnsi="Arial" w:cs="Arial"/>
              </w:rPr>
            </w:pPr>
            <w:r>
              <w:rPr>
                <w:rFonts w:cs="Arial" w:ascii="Arial" w:hAnsi="Arial"/>
              </w:rPr>
              <w:t>Date:</w:t>
            </w:r>
          </w:p>
        </w:tc>
        <w:tc>
          <w:tcPr>
            <w:tcW w:w="2460" w:type="dxa"/>
            <w:tcBorders>
              <w:bottom w:val="single" w:sz="18" w:space="0" w:color="000000"/>
            </w:tcBorders>
          </w:tcPr>
          <w:p>
            <w:pPr>
              <w:pStyle w:val="Date"/>
              <w:rPr/>
            </w:pPr>
            <w:r>
              <w:rPr/>
              <w:t>June 19, 2001</w:t>
            </w:r>
          </w:p>
        </w:tc>
      </w:tr>
    </w:tbl>
    <w:p>
      <w:pPr>
        <w:pStyle w:val="Normal"/>
        <w:ind w:start="90" w:end="0"/>
        <w:rPr>
          <w:rFonts w:ascii="Arial" w:hAnsi="Arial" w:cs="Arial"/>
          <w:color w:val="333399"/>
        </w:rPr>
      </w:pPr>
      <w:r>
        <w:rPr>
          <w:rFonts w:cs="Arial" w:ascii="Arial" w:hAnsi="Arial"/>
          <w:color w:val="333399"/>
        </w:rPr>
      </w:r>
    </w:p>
    <w:p>
      <w:pPr>
        <w:pStyle w:val="Normal"/>
        <w:ind w:start="90" w:end="0"/>
        <w:rPr>
          <w:rFonts w:ascii="Arial" w:hAnsi="Arial" w:cs="Arial"/>
          <w:color w:val="333399"/>
        </w:rPr>
      </w:pPr>
      <w:r>
        <w:rPr>
          <w:rFonts w:cs="Arial" w:ascii="Arial" w:hAnsi="Arial"/>
          <w:color w:val="333399"/>
        </w:rPr>
      </w:r>
    </w:p>
    <w:p>
      <w:pPr>
        <w:pStyle w:val="BodyTextIndent2"/>
        <w:rPr>
          <w:rFonts w:ascii="Arial Unicode MS" w:hAnsi="Arial Unicode MS" w:eastAsia="Arial Unicode MS" w:cs="Arial Unicode MS"/>
          <w:color w:val="333399"/>
          <w:szCs w:val="24"/>
        </w:rPr>
      </w:pPr>
      <w:r>
        <w:rPr>
          <w:color w:val="333399"/>
        </w:rPr>
        <w:t>Attached are the new guidelines for the Business School Loan Program, which are effective immediately.  We have taken an in-depth look at these guidelines and we feel we have arrived at a program that is broader in scope, eliminates credit exposure for Enron and better serves our business interests.  In addition, all matters that relate to the costs of the GMAT preparation and specific business school visits will now be up to the discretion of the respective business unit.  Also, any questions relating to back-to-school bonus eligibility should be directed to the Analyst and Associate Program to my attention or to Terry Bosien.</w:t>
      </w:r>
    </w:p>
    <w:p>
      <w:pPr>
        <w:pStyle w:val="Normal"/>
        <w:ind w:start="90" w:end="0"/>
        <w:rPr>
          <w:rFonts w:ascii="Arial" w:hAnsi="Arial" w:eastAsia="Arial Unicode MS" w:cs="Arial"/>
          <w:color w:val="333399"/>
          <w:szCs w:val="24"/>
        </w:rPr>
      </w:pPr>
      <w:r>
        <w:rPr>
          <w:rFonts w:eastAsia="Arial Unicode MS" w:cs="Arial" w:ascii="Arial" w:hAnsi="Arial"/>
          <w:color w:val="333399"/>
          <w:szCs w:val="24"/>
        </w:rPr>
      </w:r>
    </w:p>
    <w:p>
      <w:pPr>
        <w:pStyle w:val="Normal"/>
        <w:ind w:start="90" w:end="0"/>
        <w:rPr>
          <w:rFonts w:ascii="Arial" w:hAnsi="Arial" w:cs="Arial"/>
          <w:color w:val="333399"/>
        </w:rPr>
      </w:pPr>
      <w:r>
        <w:rPr>
          <w:rFonts w:cs="Arial" w:ascii="Arial" w:hAnsi="Arial"/>
          <w:color w:val="333399"/>
        </w:rPr>
      </w:r>
    </w:p>
    <w:p>
      <w:pPr>
        <w:pStyle w:val="Normal"/>
        <w:ind w:start="90" w:end="0"/>
        <w:rPr>
          <w:rFonts w:ascii="Arial" w:hAnsi="Arial" w:cs="Arial"/>
        </w:rPr>
      </w:pPr>
      <w:r>
        <w:rPr>
          <w:rFonts w:cs="Arial" w:ascii="Arial" w:hAnsi="Arial"/>
        </w:rPr>
      </w:r>
    </w:p>
    <w:p>
      <w:pPr>
        <w:pStyle w:val="Normal"/>
        <w:ind w:start="90" w:end="0"/>
        <w:rPr>
          <w:rFonts w:ascii="Arial" w:hAnsi="Arial" w:cs="Arial"/>
        </w:rPr>
      </w:pPr>
      <w:r>
        <w:rPr>
          <w:rFonts w:cs="Arial" w:ascii="Arial" w:hAnsi="Arial"/>
        </w:rPr>
      </w:r>
    </w:p>
    <w:p>
      <w:pPr>
        <w:pStyle w:val="Normal"/>
        <w:ind w:start="90" w:end="0"/>
        <w:rPr/>
      </w:pPr>
      <w:r>
        <w:rPr>
          <w:rFonts w:cs="Arial" w:ascii="Arial" w:hAnsi="Arial"/>
          <w:u w:val="single"/>
        </w:rPr>
        <w:t>Distribution</w:t>
      </w:r>
      <w:r>
        <w:rPr>
          <w:rFonts w:cs="Arial" w:ascii="Arial" w:hAnsi="Arial"/>
        </w:rPr>
        <w:t>:</w:t>
      </w:r>
    </w:p>
    <w:p>
      <w:pPr>
        <w:pStyle w:val="Normal"/>
        <w:ind w:start="90" w:end="0"/>
        <w:rPr>
          <w:rFonts w:ascii="Arial" w:hAnsi="Arial" w:cs="Arial"/>
        </w:rPr>
      </w:pPr>
      <w:r>
        <w:rPr>
          <w:rFonts w:cs="Arial" w:ascii="Arial" w:hAnsi="Arial"/>
        </w:rPr>
        <w:t>Analyst &amp; Associates</w:t>
      </w:r>
    </w:p>
    <w:p>
      <w:pPr>
        <w:pStyle w:val="Normal"/>
        <w:ind w:start="90" w:end="0"/>
        <w:rPr>
          <w:rFonts w:ascii="Arial" w:hAnsi="Arial" w:cs="Arial"/>
        </w:rPr>
      </w:pPr>
      <w:r>
        <w:rPr>
          <w:rFonts w:cs="Arial" w:ascii="Arial" w:hAnsi="Arial"/>
        </w:rPr>
        <w:t>Analyst &amp; Associate – Supervisors</w:t>
      </w:r>
    </w:p>
    <w:p>
      <w:pPr>
        <w:pStyle w:val="Normal"/>
        <w:ind w:start="90" w:end="0"/>
        <w:rPr>
          <w:rFonts w:ascii="Arial" w:hAnsi="Arial" w:cs="Arial"/>
        </w:rPr>
      </w:pPr>
      <w:r>
        <w:rPr>
          <w:rFonts w:cs="Arial" w:ascii="Arial" w:hAnsi="Arial"/>
        </w:rPr>
      </w:r>
    </w:p>
    <w:p>
      <w:pPr>
        <w:pStyle w:val="Subject"/>
        <w:ind w:start="90" w:end="0"/>
        <w:rPr>
          <w:rFonts w:ascii="Arial" w:hAnsi="Arial" w:cs="Arial"/>
        </w:rPr>
      </w:pPr>
      <w:r>
        <w:rPr>
          <w:rFonts w:cs="Arial"/>
        </w:rPr>
      </w:r>
    </w:p>
    <w:p>
      <w:pPr>
        <w:pStyle w:val="Normal"/>
        <w:ind w:start="90" w:end="0"/>
        <w:rPr/>
      </w:pPr>
      <w:r>
        <w:rPr>
          <w:rFonts w:cs="Arial" w:ascii="Arial" w:hAnsi="Arial"/>
          <w:u w:val="single"/>
        </w:rPr>
        <w:t>CC</w:t>
      </w:r>
      <w:r>
        <w:rPr>
          <w:rFonts w:cs="Arial" w:ascii="Arial" w:hAnsi="Arial"/>
        </w:rPr>
        <w:t>:</w:t>
      </w:r>
    </w:p>
    <w:p>
      <w:pPr>
        <w:pStyle w:val="Normal"/>
        <w:ind w:start="90" w:end="0"/>
        <w:rPr>
          <w:rFonts w:ascii="Arial" w:hAnsi="Arial" w:cs="Arial"/>
        </w:rPr>
      </w:pPr>
      <w:r>
        <w:rPr>
          <w:rFonts w:cs="Arial" w:ascii="Arial" w:hAnsi="Arial"/>
        </w:rPr>
        <w:t>Analyst &amp; Associate Committee</w:t>
      </w:r>
    </w:p>
    <w:p>
      <w:pPr>
        <w:pStyle w:val="Normal"/>
        <w:ind w:start="90" w:end="0"/>
        <w:rPr>
          <w:rFonts w:ascii="Arial" w:hAnsi="Arial" w:cs="Arial"/>
        </w:rPr>
      </w:pPr>
      <w:r>
        <w:rPr>
          <w:rFonts w:cs="Arial" w:ascii="Arial" w:hAnsi="Arial"/>
        </w:rPr>
        <w:t>Executive Committee</w:t>
      </w:r>
    </w:p>
    <w:p>
      <w:pPr>
        <w:pStyle w:val="Normal"/>
        <w:ind w:start="90" w:end="0"/>
        <w:rPr>
          <w:rFonts w:ascii="Arial" w:hAnsi="Arial" w:cs="Arial"/>
          <w:color w:val="333399"/>
        </w:rPr>
      </w:pPr>
      <w:r>
        <w:rPr>
          <w:rFonts w:cs="Arial" w:ascii="Arial" w:hAnsi="Arial"/>
          <w:color w:val="333399"/>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BodyTextIndent">
    <w:name w:val="Body Text Indent"/>
    <w:basedOn w:val="Normal"/>
    <w:pPr>
      <w:ind w:hanging="0" w:start="90" w:end="0"/>
      <w:jc w:val="both"/>
    </w:pPr>
    <w:rPr>
      <w:rFonts w:ascii="Arial" w:hAnsi="Arial" w:cs="Arial"/>
      <w:sz w:val="24"/>
    </w:rPr>
  </w:style>
  <w:style w:type="paragraph" w:styleId="BodyTextIndent2">
    <w:name w:val="Body Text Indent 2"/>
    <w:basedOn w:val="Normal"/>
    <w:qFormat/>
    <w:pPr>
      <w:ind w:hanging="0" w:start="90" w:end="0"/>
    </w:pPr>
    <w:rPr>
      <w:rFonts w:ascii="Arial" w:hAnsi="Arial" w:cs="Arial"/>
      <w:color w:val="0000F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2001-06-19T16:00:00Z</dcterms:created>
  <dc:creator>ml</dc:creator>
  <dc:description/>
  <dc:language>en-CA</dc:language>
  <cp:lastModifiedBy>mleving</cp:lastModifiedBy>
  <cp:lastPrinted>2001-06-18T15:41:00Z</cp:lastPrinted>
  <dcterms:modified xsi:type="dcterms:W3CDTF">2001-06-19T16:00:00Z</dcterms:modified>
  <cp:revision>2</cp:revision>
  <dc:subject/>
  <dc:title>John for the Rode Island Project, attached please find the following documents.</dc:title>
</cp:coreProperties>
</file>