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89535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Mike McConnell, Ted Murphy, David Port, 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Cassandra Schultz, Jeff Shankman, Jeff Skilling, Greg Whalley,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95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19,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18,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Global Markets – EOL Crude 24/7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 Open Position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2 Mil BBL WTI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 Open Position: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3 Mil BBL WTI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autoSpaceDE w:val="false"/>
        <w:spacing w:lineRule="atLeast" w:line="24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  <w:tab/>
      </w:r>
    </w:p>
    <w:p>
      <w:pPr>
        <w:pStyle w:val="Normal"/>
        <w:tabs>
          <w:tab w:val="clear" w:pos="720"/>
          <w:tab w:val="left" w:pos="1800" w:leader="none"/>
        </w:tabs>
        <w:autoSpaceDE w:val="false"/>
        <w:spacing w:lineRule="atLeast" w:line="240"/>
        <w:ind w:firstLine="720" w:start="720" w:end="0"/>
        <w:rPr/>
      </w:pPr>
      <w:r>
        <w:rPr>
          <w:b/>
          <w:bCs/>
          <w:color w:val="000000"/>
          <w:sz w:val="20"/>
          <w:szCs w:val="20"/>
        </w:rPr>
        <w:t xml:space="preserve">       </w:t>
      </w:r>
      <w:r>
        <w:rPr>
          <w:rFonts w:cs="Arial" w:ascii="Arial" w:hAnsi="Arial"/>
          <w:color w:val="000000"/>
          <w:sz w:val="20"/>
          <w:szCs w:val="20"/>
        </w:rPr>
        <w:t>The EOL Crude position limit violation was largely due to a $1.00 drop in the front month</w:t>
      </w:r>
    </w:p>
    <w:p>
      <w:pPr>
        <w:pStyle w:val="Normal"/>
        <w:tabs>
          <w:tab w:val="clear" w:pos="720"/>
          <w:tab w:val="left" w:pos="1800" w:leader="none"/>
        </w:tabs>
        <w:autoSpaceDE w:val="false"/>
        <w:spacing w:lineRule="atLeast" w:line="240"/>
        <w:ind w:firstLine="720" w:start="720" w:end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 xml:space="preserve">WTI Nymex contract.  As the market dropped, both internal and external counterparties </w:t>
      </w:r>
    </w:p>
    <w:p>
      <w:pPr>
        <w:pStyle w:val="Normal"/>
        <w:tabs>
          <w:tab w:val="clear" w:pos="720"/>
          <w:tab w:val="left" w:pos="1800" w:leader="none"/>
        </w:tabs>
        <w:autoSpaceDE w:val="false"/>
        <w:spacing w:lineRule="atLeast" w:line="240"/>
        <w:ind w:firstLine="720" w:start="720" w:end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>were selling contracts to the EOL portfolio.  Of this 3 million BBL position, 1.5 million BBLS</w:t>
      </w:r>
    </w:p>
    <w:p>
      <w:pPr>
        <w:pStyle w:val="Normal"/>
        <w:tabs>
          <w:tab w:val="clear" w:pos="720"/>
          <w:tab w:val="left" w:pos="1800" w:leader="none"/>
        </w:tabs>
        <w:autoSpaceDE w:val="false"/>
        <w:spacing w:lineRule="atLeast" w:line="240"/>
        <w:ind w:firstLine="720" w:start="720" w:end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>are NXC2 positions.  These positions will roll off and cash settle today.  So, excluding any</w:t>
      </w:r>
    </w:p>
    <w:p>
      <w:pPr>
        <w:pStyle w:val="Normal"/>
        <w:tabs>
          <w:tab w:val="clear" w:pos="720"/>
          <w:tab w:val="left" w:pos="1800" w:leader="none"/>
        </w:tabs>
        <w:autoSpaceDE w:val="false"/>
        <w:spacing w:lineRule="atLeast" w:line="240"/>
        <w:ind w:firstLine="720" w:start="720" w:end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ab/>
        <w:t xml:space="preserve">new deals done on June 19, the EOL Crude portfolio would get shorter 1.5 million BBL.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 </w:t>
      </w:r>
      <w:r>
        <w:rPr>
          <w:b/>
          <w:bCs/>
          <w:color w:val="000000"/>
          <w:sz w:val="32"/>
          <w:szCs w:val="32"/>
        </w:rPr>
        <w:t>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2001-06-19T16:56:00Z</dcterms:created>
  <dc:creator>kthibode</dc:creator>
  <dc:description/>
  <dc:language>en-CA</dc:language>
  <cp:lastModifiedBy>cabel</cp:lastModifiedBy>
  <dcterms:modified xsi:type="dcterms:W3CDTF">2001-06-19T18:00:00Z</dcterms:modified>
  <cp:revision>4</cp:revision>
  <dc:subject/>
  <dc:title/>
</cp:coreProperties>
</file>