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13335</wp:posOffset>
            </wp:positionH>
            <wp:positionV relativeFrom="paragraph">
              <wp:posOffset>-264160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Rick Buy, Louise Kitchen, John Lavorato, Ted Murphy, David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Port, Cassandra Schultz, Jeff Skilling, Greg Whalley,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June 19,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June 18,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Americas - North America Gas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300 Bcf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(446) Bcf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  <w:tab/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The Maturity Gap Risk violation continues to be driven by short positions in July, 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August and September, 2001. However, 21 Bcf of length was added to the July and 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August positions, of which 20 Bcf was added in the NG Price books.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>
          <w:b/>
          <w:bCs/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ab/>
        <w:tab/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418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 Action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Acknowledgement 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 xml:space="preserve">Office of the Chair  </w:t>
      </w:r>
      <w:r>
        <w:rPr>
          <w:b/>
          <w:bCs/>
          <w:color w:val="000000"/>
          <w:sz w:val="32"/>
          <w:szCs w:val="32"/>
        </w:rPr>
        <w:softHyphen/>
        <w:t>__________________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 xml:space="preserve">  _____________________</w:t>
      </w:r>
      <w:r>
        <w:rPr>
          <w:rFonts w:cs="MS Sans Serif" w:ascii="MS Sans Serif" w:hAnsi="MS Sans Serif"/>
          <w:sz w:val="20"/>
          <w:u w:val="single"/>
        </w:rPr>
        <w:t xml:space="preserve">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2001-06-19T14:46:00Z</dcterms:created>
  <dc:creator>kthibode</dc:creator>
  <dc:description/>
  <dc:language>en-CA</dc:language>
  <cp:lastModifiedBy>cabel</cp:lastModifiedBy>
  <cp:lastPrinted>2001-06-14T14:42:00Z</cp:lastPrinted>
  <dcterms:modified xsi:type="dcterms:W3CDTF">2001-06-19T17:32:00Z</dcterms:modified>
  <cp:revision>4</cp:revision>
  <dc:subject/>
  <dc:title/>
</cp:coreProperties>
</file>