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13,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12,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(413)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The Maturity Gap violations over the past several days has been due to additional short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positions being added across all regions for the months of July through August 2001.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Today’s Maturity Gap was reduced due to the addition of 34 Bcf of length in July 2001. 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 xml:space="preserve">Of that, the financial desk contributed 16Bcf. 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2001-06-13T11:19:00Z</dcterms:created>
  <dc:creator>kthibode</dc:creator>
  <dc:description/>
  <dc:language>en-CA</dc:language>
  <cp:lastModifiedBy>cabel</cp:lastModifiedBy>
  <dcterms:modified xsi:type="dcterms:W3CDTF">2001-06-13T19:09:00Z</dcterms:modified>
  <cp:revision>5</cp:revision>
  <dc:subject/>
  <dc:title/>
</cp:coreProperties>
</file>