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/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Mark Frevert, Louise Kitchen, John Lavorato, Jeff McMahon,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Ted Murphy, David Port, Cassandra Schultz, Jeff Shankman, John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ab/>
        <w:t>Sherriff, 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33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12,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June 11,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- Enron - Total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$125.00 Million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$126.42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  <w:tab/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  <w:tab/>
        <w:tab/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/>
      </w:pPr>
      <w:r>
        <w:rPr>
          <w:b/>
          <w:bCs/>
          <w:color w:val="000000"/>
          <w:sz w:val="20"/>
          <w:szCs w:val="20"/>
        </w:rPr>
        <w:tab/>
        <w:tab/>
        <w:tab/>
      </w:r>
      <w:r>
        <w:rPr>
          <w:color w:val="000000"/>
          <w:sz w:val="20"/>
          <w:szCs w:val="20"/>
        </w:rPr>
        <w:t>The VaR violation was primarily caused by an increase in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ab/>
        <w:t xml:space="preserve">VaR.  The natural gas VaR is a result of having short prompt month positions,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ab/>
        <w:tab/>
        <w:t>combined with increases in prices across all regions.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4667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2001-06-12T11:46:00Z</dcterms:created>
  <dc:creator>kthibode</dc:creator>
  <dc:description/>
  <dc:language>en-CA</dc:language>
  <cp:lastModifiedBy>cabel</cp:lastModifiedBy>
  <dcterms:modified xsi:type="dcterms:W3CDTF">2001-06-12T20:38:00Z</dcterms:modified>
  <cp:revision>5</cp:revision>
  <dc:subject/>
  <dc:title/>
</cp:coreProperties>
</file>