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20"/>
          <w:tab w:val="right" w:pos="10080" w:leader="none"/>
        </w:tabs>
        <w:autoSpaceDE w:val="false"/>
        <w:rPr>
          <w:b/>
          <w:bCs/>
          <w:color w:val="000000"/>
          <w:sz w:val="30"/>
          <w:szCs w:val="30"/>
        </w:rPr>
      </w:pPr>
      <w: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89535</wp:posOffset>
            </wp:positionH>
            <wp:positionV relativeFrom="paragraph">
              <wp:posOffset>-187960</wp:posOffset>
            </wp:positionV>
            <wp:extent cx="941705" cy="961390"/>
            <wp:effectExtent l="0" t="0" r="0" b="0"/>
            <wp:wrapNone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4" r="-4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961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</w:rPr>
        <w:t>Interoffice Memorandum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</w:tabs>
        <w:autoSpaceDE w:val="false"/>
        <w:spacing w:before="1767" w:after="0"/>
        <w:rPr/>
      </w:pPr>
      <w:r>
        <w:rPr>
          <w:color w:val="000000"/>
          <w:sz w:val="20"/>
          <w:szCs w:val="20"/>
        </w:rPr>
        <w:t>To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Rick Buy, Louise Kitchen, John Lavorato, Ted Murphy,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  <w:tab/>
        <w:t xml:space="preserve">David Port, Cassandra Schultz, Jeff Skilling, Greg Whalley,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</w:tabs>
        <w:autoSpaceDE w:val="false"/>
        <w:rPr>
          <w:color w:val="000000"/>
          <w:sz w:val="22"/>
          <w:szCs w:val="22"/>
        </w:rPr>
      </w:pPr>
      <w:r>
        <w:rPr>
          <w:color w:val="000000"/>
          <w:sz w:val="20"/>
          <w:szCs w:val="20"/>
        </w:rPr>
        <w:tab/>
        <w:tab/>
        <w:t>File Copy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right" w:pos="7560" w:leader="none"/>
          <w:tab w:val="left" w:pos="7680" w:leader="none"/>
        </w:tabs>
        <w:autoSpaceDE w:val="false"/>
        <w:spacing w:before="86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From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Chris Abel / Kenneth Thibodeaux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Department: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Risk Management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right" w:pos="7560" w:leader="none"/>
          <w:tab w:val="left" w:pos="7680" w:leader="none"/>
        </w:tabs>
        <w:autoSpaceDE w:val="false"/>
        <w:spacing w:before="13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Subject: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Limit Violation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Date: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June 4, 2001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b/>
          <w:bCs/>
          <w:color w:val="000000"/>
          <w:sz w:val="82"/>
          <w:szCs w:val="82"/>
        </w:rPr>
      </w:pPr>
      <w:r>
        <w:rPr>
          <w:b/>
          <w:bCs/>
          <w:color w:val="000000"/>
          <w:sz w:val="72"/>
          <w:szCs w:val="72"/>
        </w:rPr>
        <w:t>—————————————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Please note below the occurrence of the following limit violation as of the close of business June 1, 2001.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spacing w:before="373" w:after="0"/>
        <w:rPr>
          <w:b/>
          <w:bCs/>
          <w:color w:val="000000"/>
          <w:sz w:val="25"/>
          <w:szCs w:val="25"/>
          <w:u w:val="single"/>
        </w:rPr>
      </w:pPr>
      <w:r>
        <w:rPr>
          <w:b/>
          <w:bCs/>
          <w:color w:val="000000"/>
          <w:sz w:val="20"/>
          <w:szCs w:val="20"/>
          <w:u w:val="single"/>
        </w:rPr>
        <w:t>Enron Americas - Gas Trading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19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Violation: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Maturity Gap Risk Limit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88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Limit: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300 Bcf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Maturity Gap Risk: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(368) Bcf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253" w:after="0"/>
        <w:rPr>
          <w:b/>
          <w:bCs/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Explanation:</w:t>
      </w:r>
    </w:p>
    <w:p>
      <w:pPr>
        <w:pStyle w:val="Normal"/>
        <w:widowControl w:val="false"/>
        <w:tabs>
          <w:tab w:val="clear" w:pos="720"/>
          <w:tab w:val="left" w:pos="2520" w:leader="none"/>
        </w:tabs>
        <w:autoSpaceDE w:val="false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Financial desks shortened their positions by 6 Bcf in the prompt month and 2.4 Bcf in the </w:t>
      </w:r>
    </w:p>
    <w:p>
      <w:pPr>
        <w:pStyle w:val="Normal"/>
        <w:widowControl w:val="false"/>
        <w:tabs>
          <w:tab w:val="clear" w:pos="720"/>
          <w:tab w:val="left" w:pos="2520" w:leader="none"/>
        </w:tabs>
        <w:autoSpaceDE w:val="false"/>
        <w:rPr>
          <w:color w:val="000000"/>
          <w:sz w:val="22"/>
          <w:szCs w:val="22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Summer, 2001 months.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131" w:after="0"/>
        <w:rPr>
          <w:rFonts w:ascii="MS Sans Serif" w:hAnsi="MS Sans Serif" w:cs="MS Sans Serif"/>
          <w:sz w:val="20"/>
        </w:rPr>
      </w:pPr>
      <w:r>
        <w:rPr>
          <w:rFonts w:cs="MS Sans Serif" w:ascii="MS Sans Serif" w:hAnsi="MS Sans Serif"/>
          <w:sz w:val="20"/>
        </w:rPr>
        <w:tab/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131" w:after="0"/>
        <w:rPr>
          <w:rFonts w:ascii="MS Sans Serif" w:hAnsi="MS Sans Serif" w:cs="MS Sans Serif"/>
          <w:sz w:val="20"/>
        </w:rPr>
      </w:pPr>
      <w:r>
        <w:rPr>
          <w:rFonts w:cs="MS Sans Serif" w:ascii="MS Sans Serif" w:hAnsi="MS Sans Serif"/>
          <w:sz w:val="20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131" w:after="0"/>
        <w:rPr>
          <w:b/>
          <w:bCs/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RAC Comments: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373" w:after="0"/>
        <w:rPr>
          <w:rFonts w:ascii="MS Sans Serif" w:hAnsi="MS Sans Serif" w:cs="MS Sans Serif"/>
          <w:sz w:val="20"/>
        </w:rPr>
      </w:pPr>
      <w:r>
        <w:rPr>
          <w:rFonts w:cs="MS Sans Serif" w:ascii="MS Sans Serif" w:hAnsi="MS Sans Serif"/>
          <w:sz w:val="20"/>
        </w:rPr>
        <w:tab/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373" w:after="0"/>
        <w:rPr>
          <w:b/>
          <w:bCs/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Recommended Course of Action:</w:t>
      </w:r>
    </w:p>
    <w:p>
      <w:pPr>
        <w:pStyle w:val="Normal"/>
        <w:widowControl w:val="false"/>
        <w:tabs>
          <w:tab w:val="clear" w:pos="720"/>
          <w:tab w:val="right" w:pos="2160" w:leader="none"/>
          <w:tab w:val="left" w:pos="2250" w:leader="none"/>
          <w:tab w:val="right" w:pos="5040" w:leader="none"/>
          <w:tab w:val="left" w:pos="5130" w:leader="none"/>
          <w:tab w:val="right" w:pos="7920" w:leader="none"/>
          <w:tab w:val="left" w:pos="8010" w:leader="none"/>
        </w:tabs>
        <w:autoSpaceDE w:val="false"/>
        <w:rPr>
          <w:rFonts w:ascii="MS Sans Serif" w:hAnsi="MS Sans Serif" w:cs="MS Sans Serif"/>
          <w:b/>
          <w:bCs/>
          <w:color w:val="000000"/>
          <w:sz w:val="20"/>
          <w:szCs w:val="25"/>
        </w:rPr>
      </w:pPr>
      <w:r>
        <w:rPr>
          <w:rFonts w:cs="MS Sans Serif" w:ascii="MS Sans Serif" w:hAnsi="MS Sans Serif"/>
          <w:b/>
          <w:bCs/>
          <w:color w:val="000000"/>
          <w:sz w:val="20"/>
          <w:szCs w:val="25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left" w:pos="2250" w:leader="none"/>
          <w:tab w:val="right" w:pos="5040" w:leader="none"/>
          <w:tab w:val="left" w:pos="5130" w:leader="none"/>
          <w:tab w:val="right" w:pos="7920" w:leader="none"/>
          <w:tab w:val="left" w:pos="8010" w:leader="none"/>
        </w:tabs>
        <w:autoSpaceDE w:val="false"/>
        <w:rPr>
          <w:rFonts w:ascii="MS Sans Serif" w:hAnsi="MS Sans Serif" w:cs="MS Sans Serif"/>
          <w:sz w:val="20"/>
        </w:rPr>
      </w:pPr>
      <w:r>
        <w:rPr>
          <w:rFonts w:cs="MS Sans Serif" w:ascii="MS Sans Serif" w:hAnsi="MS Sans Serif"/>
          <w:sz w:val="20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left" w:pos="2250" w:leader="none"/>
          <w:tab w:val="right" w:pos="5040" w:leader="none"/>
          <w:tab w:val="left" w:pos="5130" w:leader="none"/>
          <w:tab w:val="right" w:pos="7920" w:leader="none"/>
          <w:tab w:val="left" w:pos="8010" w:leader="none"/>
        </w:tabs>
        <w:autoSpaceDE w:val="false"/>
        <w:rPr/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Increase </w:t>
      </w:r>
      <w:r>
        <w:rPr>
          <w:rFonts w:cs="MS Sans Serif" w:ascii="MS Sans Serif" w:hAnsi="MS Sans Serif"/>
          <w:sz w:val="20"/>
        </w:rPr>
        <w:tab/>
        <w:tab/>
      </w:r>
      <w:r>
        <w:rPr>
          <w:color w:val="000000"/>
          <w:sz w:val="20"/>
          <w:szCs w:val="20"/>
        </w:rPr>
        <w:t xml:space="preserve">Decrease </w:t>
      </w:r>
      <w:r>
        <w:rPr>
          <w:rFonts w:cs="MS Sans Serif" w:ascii="MS Sans Serif" w:hAnsi="MS Sans Serif"/>
          <w:sz w:val="20"/>
        </w:rPr>
        <w:tab/>
        <w:tab/>
      </w:r>
      <w:r>
        <w:rPr>
          <w:color w:val="000000"/>
          <w:sz w:val="20"/>
          <w:szCs w:val="20"/>
        </w:rPr>
        <w:t>No Action</w:t>
      </w:r>
    </w:p>
    <w:p>
      <w:pPr>
        <w:pStyle w:val="Normal"/>
        <w:widowControl w:val="false"/>
        <w:tabs>
          <w:tab w:val="clear" w:pos="720"/>
          <w:tab w:val="right" w:pos="2160" w:leader="none"/>
          <w:tab w:val="left" w:pos="2250" w:leader="none"/>
          <w:tab w:val="right" w:pos="5040" w:leader="none"/>
          <w:tab w:val="left" w:pos="5130" w:leader="none"/>
          <w:tab w:val="right" w:pos="7920" w:leader="none"/>
          <w:tab w:val="left" w:pos="801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left" w:pos="2250" w:leader="none"/>
          <w:tab w:val="right" w:pos="5040" w:leader="none"/>
          <w:tab w:val="left" w:pos="5130" w:leader="none"/>
          <w:tab w:val="right" w:pos="7920" w:leader="none"/>
          <w:tab w:val="left" w:pos="801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left" w:pos="2250" w:leader="none"/>
          <w:tab w:val="right" w:pos="5040" w:leader="none"/>
          <w:tab w:val="left" w:pos="5130" w:leader="none"/>
          <w:tab w:val="right" w:pos="7920" w:leader="none"/>
          <w:tab w:val="left" w:pos="801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left" w:pos="2250" w:leader="none"/>
          <w:tab w:val="right" w:pos="5040" w:leader="none"/>
          <w:tab w:val="left" w:pos="5130" w:leader="none"/>
          <w:tab w:val="right" w:pos="7920" w:leader="none"/>
          <w:tab w:val="left" w:pos="801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left" w:pos="2250" w:leader="none"/>
          <w:tab w:val="right" w:pos="5040" w:leader="none"/>
          <w:tab w:val="left" w:pos="5130" w:leader="none"/>
          <w:tab w:val="right" w:pos="7920" w:leader="none"/>
          <w:tab w:val="left" w:pos="801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left" w:pos="2250" w:leader="none"/>
          <w:tab w:val="right" w:pos="5040" w:leader="none"/>
          <w:tab w:val="left" w:pos="5130" w:leader="none"/>
          <w:tab w:val="right" w:pos="7920" w:leader="none"/>
          <w:tab w:val="left" w:pos="801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left" w:pos="2250" w:leader="none"/>
          <w:tab w:val="right" w:pos="5040" w:leader="none"/>
          <w:tab w:val="left" w:pos="5130" w:leader="none"/>
          <w:tab w:val="right" w:pos="7920" w:leader="none"/>
          <w:tab w:val="left" w:pos="801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left" w:pos="2250" w:leader="none"/>
          <w:tab w:val="right" w:pos="5040" w:leader="none"/>
          <w:tab w:val="left" w:pos="5130" w:leader="none"/>
          <w:tab w:val="right" w:pos="7920" w:leader="none"/>
          <w:tab w:val="left" w:pos="801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left" w:pos="2250" w:leader="none"/>
          <w:tab w:val="right" w:pos="5040" w:leader="none"/>
          <w:tab w:val="left" w:pos="5130" w:leader="none"/>
          <w:tab w:val="right" w:pos="7920" w:leader="none"/>
          <w:tab w:val="left" w:pos="801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left" w:pos="2250" w:leader="none"/>
          <w:tab w:val="right" w:pos="5040" w:leader="none"/>
          <w:tab w:val="left" w:pos="5130" w:leader="none"/>
          <w:tab w:val="right" w:pos="7920" w:leader="none"/>
          <w:tab w:val="left" w:pos="801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left" w:pos="2250" w:leader="none"/>
          <w:tab w:val="right" w:pos="5040" w:leader="none"/>
          <w:tab w:val="left" w:pos="5130" w:leader="none"/>
          <w:tab w:val="right" w:pos="7920" w:leader="none"/>
          <w:tab w:val="left" w:pos="801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right" w:pos="2160" w:leader="none"/>
          <w:tab w:val="left" w:pos="2250" w:leader="none"/>
          <w:tab w:val="right" w:pos="5040" w:leader="none"/>
          <w:tab w:val="left" w:pos="5130" w:leader="none"/>
          <w:tab w:val="right" w:pos="7920" w:leader="none"/>
          <w:tab w:val="left" w:pos="8010" w:leader="none"/>
        </w:tabs>
        <w:autoSpaceDE w:val="false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0"/>
          <w:szCs w:val="20"/>
        </w:rPr>
        <w:t>Acknowledgement: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1200" w:leader="none"/>
          <w:tab w:val="left" w:pos="4680" w:leader="none"/>
          <w:tab w:val="right" w:pos="10080" w:leader="none"/>
        </w:tabs>
        <w:autoSpaceDE w:val="false"/>
        <w:spacing w:before="73" w:after="0"/>
        <w:rPr>
          <w:b/>
          <w:bCs/>
          <w:color w:val="000000"/>
          <w:sz w:val="39"/>
          <w:szCs w:val="39"/>
        </w:rPr>
      </w:pPr>
      <w:r>
        <w:rPr>
          <w:color w:val="000000"/>
          <w:sz w:val="20"/>
          <w:szCs w:val="20"/>
        </w:rPr>
        <w:t>Office of the Chair</w:t>
      </w:r>
      <w:r>
        <w:rPr>
          <w:b/>
          <w:bCs/>
          <w:color w:val="000000"/>
          <w:sz w:val="32"/>
          <w:szCs w:val="32"/>
        </w:rPr>
        <w:t>—————————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Risk Assessment and Control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32"/>
          <w:szCs w:val="32"/>
        </w:rPr>
        <w:t>—————————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3225" w:leader="none"/>
          <w:tab w:val="center" w:pos="6360" w:leader="none"/>
          <w:tab w:val="right" w:pos="10080" w:leader="none"/>
        </w:tabs>
        <w:autoSpaceDE w:val="false"/>
        <w:spacing w:before="116" w:after="0"/>
        <w:rPr/>
      </w:pPr>
      <w:r>
        <w:rPr>
          <w:b/>
          <w:bCs/>
          <w:color w:val="000000"/>
          <w:sz w:val="16"/>
          <w:szCs w:val="16"/>
        </w:rPr>
        <w:t>Respect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Integrity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Communication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Excellence</w:t>
      </w:r>
    </w:p>
    <w:sectPr>
      <w:type w:val="nextPage"/>
      <w:pgSz w:w="12240" w:h="15840"/>
      <w:pgMar w:left="720" w:right="636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MS Sans Serif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2001-06-04T19:18:00Z</dcterms:created>
  <dc:creator>kthibode</dc:creator>
  <dc:description/>
  <dc:language>en-CA</dc:language>
  <cp:lastModifiedBy>kthibode</cp:lastModifiedBy>
  <cp:lastPrinted>2001-06-04T16:42:00Z</cp:lastPrinted>
  <dcterms:modified xsi:type="dcterms:W3CDTF">2001-06-04T19:20:00Z</dcterms:modified>
  <cp:revision>3</cp:revision>
  <dc:subject/>
  <dc:title/>
</cp:coreProperties>
</file>